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892EB">
      <w:pPr>
        <w:widowControl/>
        <w:spacing w:after="240" w:afterLines="100"/>
        <w:jc w:val="center"/>
        <w:rPr>
          <w:rFonts w:hint="eastAsia" w:ascii="宋体" w:hAnsi="宋体" w:eastAsia="宋体" w:cstheme="minorBidi"/>
          <w:b/>
          <w:sz w:val="52"/>
          <w:szCs w:val="52"/>
          <w:lang w:val="en-US" w:eastAsia="zh-CN"/>
        </w:rPr>
      </w:pPr>
      <w:r>
        <w:rPr>
          <w:rFonts w:hint="eastAsia" w:ascii="宋体" w:hAnsi="宋体" w:eastAsia="宋体" w:cstheme="minorBidi"/>
          <w:b/>
          <w:sz w:val="52"/>
          <w:szCs w:val="52"/>
          <w:lang w:val="en-US" w:eastAsia="zh-CN"/>
        </w:rPr>
        <w:t>中等职业学校</w:t>
      </w:r>
    </w:p>
    <w:p w14:paraId="5342E6EE">
      <w:pPr>
        <w:widowControl/>
        <w:jc w:val="center"/>
        <w:rPr>
          <w:rFonts w:hint="eastAsia" w:ascii="黑体" w:hAnsi="黑体" w:eastAsia="黑体" w:cs="黑体"/>
          <w:b/>
          <w:sz w:val="60"/>
          <w:szCs w:val="60"/>
          <w:lang w:val="en-US" w:eastAsia="zh-CN"/>
        </w:rPr>
      </w:pPr>
      <w:bookmarkStart w:id="0" w:name="_Toc17235"/>
      <w:r>
        <w:rPr>
          <w:rFonts w:hint="eastAsia" w:ascii="黑体" w:hAnsi="黑体" w:eastAsia="黑体" w:cs="黑体"/>
          <w:b/>
          <w:sz w:val="60"/>
          <w:szCs w:val="60"/>
          <w:lang w:val="en-US" w:eastAsia="zh-CN"/>
        </w:rPr>
        <w:t>新能源汽车运用与维修专业</w:t>
      </w:r>
      <w:bookmarkEnd w:id="0"/>
    </w:p>
    <w:p w14:paraId="4FCEBECA">
      <w:pPr>
        <w:widowControl/>
        <w:jc w:val="center"/>
        <w:rPr>
          <w:rFonts w:hint="eastAsia" w:ascii="黑体" w:hAnsi="黑体" w:eastAsia="黑体" w:cs="黑体"/>
          <w:b/>
          <w:sz w:val="72"/>
          <w:szCs w:val="72"/>
          <w:lang w:val="en-US" w:eastAsia="zh-CN"/>
        </w:rPr>
      </w:pPr>
      <w:bookmarkStart w:id="1" w:name="_Toc15801"/>
      <w:r>
        <w:rPr>
          <w:rFonts w:hint="eastAsia" w:ascii="黑体" w:hAnsi="黑体" w:eastAsia="黑体" w:cs="黑体"/>
          <w:b/>
          <w:sz w:val="72"/>
          <w:szCs w:val="72"/>
          <w:lang w:val="en-US" w:eastAsia="zh-CN"/>
        </w:rPr>
        <w:t>人才培养方案</w:t>
      </w:r>
      <w:bookmarkEnd w:id="1"/>
      <w:bookmarkStart w:id="2" w:name="_Toc5734"/>
    </w:p>
    <w:p w14:paraId="66028A23">
      <w:pPr>
        <w:jc w:val="center"/>
        <w:rPr>
          <w:rFonts w:hint="eastAsia" w:ascii="黑体" w:hAnsi="黑体" w:eastAsia="黑体" w:cs="黑体"/>
          <w:b/>
          <w:lang w:val="en-US" w:eastAsia="zh-CN"/>
        </w:rPr>
      </w:pPr>
      <w:r>
        <w:rPr>
          <w:rFonts w:hint="eastAsia" w:ascii="黑体" w:hAnsi="黑体" w:eastAsia="黑体" w:cs="黑体"/>
          <w:b/>
          <w:lang w:val="en-US" w:eastAsia="zh-CN"/>
        </w:rPr>
        <w:t>（专业代码：700209）</w:t>
      </w:r>
      <w:bookmarkEnd w:id="2"/>
    </w:p>
    <w:p w14:paraId="55514B58">
      <w:pPr>
        <w:keepNext w:val="0"/>
        <w:keepLines w:val="0"/>
        <w:pageBreakBefore w:val="0"/>
        <w:wordWrap/>
        <w:topLinePunct w:val="0"/>
        <w:bidi w:val="0"/>
        <w:spacing w:line="360" w:lineRule="auto"/>
        <w:ind w:firstLine="2891" w:firstLineChars="1200"/>
        <w:jc w:val="both"/>
        <w:rPr>
          <w:rFonts w:hint="eastAsia" w:ascii="黑体" w:hAnsi="黑体" w:eastAsia="黑体" w:cs="黑体"/>
          <w:b/>
          <w:sz w:val="24"/>
          <w:szCs w:val="32"/>
          <w:lang w:val="en-US" w:eastAsia="zh-CN"/>
        </w:rPr>
      </w:pPr>
    </w:p>
    <w:p w14:paraId="21C40427">
      <w:pPr>
        <w:keepNext w:val="0"/>
        <w:keepLines w:val="0"/>
        <w:pageBreakBefore w:val="0"/>
        <w:wordWrap/>
        <w:topLinePunct w:val="0"/>
        <w:bidi w:val="0"/>
        <w:spacing w:line="360" w:lineRule="auto"/>
        <w:ind w:firstLine="2891" w:firstLineChars="1200"/>
        <w:jc w:val="both"/>
        <w:rPr>
          <w:rFonts w:hint="eastAsia" w:ascii="黑体" w:hAnsi="黑体" w:eastAsia="黑体" w:cs="黑体"/>
          <w:b/>
          <w:sz w:val="24"/>
          <w:szCs w:val="32"/>
          <w:lang w:val="en-US" w:eastAsia="zh-CN"/>
        </w:rPr>
      </w:pPr>
    </w:p>
    <w:p w14:paraId="10E126C0">
      <w:pPr>
        <w:keepNext w:val="0"/>
        <w:keepLines w:val="0"/>
        <w:pageBreakBefore w:val="0"/>
        <w:wordWrap/>
        <w:topLinePunct w:val="0"/>
        <w:bidi w:val="0"/>
        <w:spacing w:line="360" w:lineRule="auto"/>
        <w:ind w:firstLine="2891" w:firstLineChars="1200"/>
        <w:jc w:val="both"/>
        <w:rPr>
          <w:rFonts w:hint="eastAsia" w:ascii="黑体" w:hAnsi="黑体" w:eastAsia="黑体" w:cs="黑体"/>
          <w:b/>
          <w:sz w:val="24"/>
          <w:szCs w:val="32"/>
          <w:lang w:val="en-US" w:eastAsia="zh-CN"/>
        </w:rPr>
      </w:pPr>
    </w:p>
    <w:p w14:paraId="0C161B8B">
      <w:pPr>
        <w:rPr>
          <w:rFonts w:hint="eastAsia"/>
          <w:lang w:val="en-US" w:eastAsia="zh-CN"/>
        </w:rPr>
      </w:pPr>
    </w:p>
    <w:p w14:paraId="51BB9123">
      <w:pPr>
        <w:rPr>
          <w:rFonts w:hint="eastAsia"/>
          <w:lang w:val="en-US" w:eastAsia="zh-CN"/>
        </w:rPr>
      </w:pPr>
    </w:p>
    <w:p w14:paraId="6991CDF5">
      <w:pPr>
        <w:rPr>
          <w:rFonts w:hint="eastAsia"/>
          <w:lang w:val="en-US" w:eastAsia="zh-CN"/>
        </w:rPr>
      </w:pPr>
    </w:p>
    <w:p w14:paraId="01480E50">
      <w:pPr>
        <w:rPr>
          <w:rFonts w:hint="eastAsia"/>
          <w:lang w:val="en-US" w:eastAsia="zh-CN"/>
        </w:rPr>
      </w:pPr>
    </w:p>
    <w:p w14:paraId="27FB982D">
      <w:pPr>
        <w:rPr>
          <w:rFonts w:hint="eastAsia"/>
          <w:lang w:val="en-US" w:eastAsia="zh-CN"/>
        </w:rPr>
      </w:pPr>
    </w:p>
    <w:p w14:paraId="6A94478A">
      <w:pPr>
        <w:spacing w:line="360" w:lineRule="auto"/>
        <w:ind w:left="2310" w:leftChars="1100"/>
        <w:jc w:val="center"/>
        <w:rPr>
          <w:rFonts w:hint="eastAsia" w:ascii="宋体" w:hAnsi="宋体" w:eastAsia="宋体"/>
          <w:b/>
          <w:sz w:val="28"/>
          <w:szCs w:val="28"/>
        </w:rPr>
      </w:pPr>
    </w:p>
    <w:p w14:paraId="447ED1EB">
      <w:pPr>
        <w:spacing w:line="360" w:lineRule="auto"/>
        <w:ind w:left="2310" w:leftChars="1100" w:firstLine="420" w:firstLineChars="0"/>
        <w:rPr>
          <w:rFonts w:hint="default" w:ascii="宋体" w:hAnsi="宋体" w:eastAsia="黑体"/>
          <w:b/>
          <w:sz w:val="28"/>
          <w:szCs w:val="28"/>
          <w:lang w:val="en-US" w:eastAsia="zh-CN"/>
        </w:rPr>
      </w:pPr>
      <w:r>
        <w:rPr>
          <w:rFonts w:hint="eastAsia" w:ascii="黑体" w:hAnsi="黑体" w:eastAsia="黑体" w:cs="黑体"/>
          <w:b/>
          <w:sz w:val="28"/>
          <w:szCs w:val="28"/>
        </w:rPr>
        <w:t>编 制 人：</w:t>
      </w:r>
      <w:r>
        <w:rPr>
          <w:rFonts w:hint="eastAsia" w:ascii="黑体" w:hAnsi="黑体" w:eastAsia="黑体" w:cs="黑体"/>
          <w:b/>
          <w:sz w:val="28"/>
          <w:szCs w:val="28"/>
          <w:lang w:val="en-US" w:eastAsia="zh-CN"/>
        </w:rPr>
        <w:t>汤深飞</w:t>
      </w:r>
    </w:p>
    <w:p w14:paraId="39B9F046">
      <w:pPr>
        <w:spacing w:line="360" w:lineRule="auto"/>
        <w:ind w:left="2310" w:leftChars="1100" w:firstLine="420" w:firstLineChars="0"/>
        <w:rPr>
          <w:rFonts w:hint="eastAsia" w:ascii="宋体" w:hAnsi="宋体" w:eastAsia="黑体"/>
          <w:b/>
          <w:sz w:val="28"/>
          <w:szCs w:val="28"/>
          <w:lang w:eastAsia="zh-CN"/>
        </w:rPr>
      </w:pPr>
      <w:r>
        <w:rPr>
          <w:rFonts w:hint="eastAsia" w:ascii="黑体" w:hAnsi="黑体" w:eastAsia="黑体" w:cs="黑体"/>
          <w:b/>
          <w:sz w:val="28"/>
          <w:szCs w:val="28"/>
        </w:rPr>
        <w:t>审 核 人：</w:t>
      </w:r>
      <w:r>
        <w:rPr>
          <w:rFonts w:hint="eastAsia" w:ascii="黑体" w:hAnsi="黑体" w:eastAsia="黑体" w:cs="黑体"/>
          <w:b/>
          <w:sz w:val="28"/>
          <w:szCs w:val="28"/>
          <w:lang w:val="en-US" w:eastAsia="zh-CN"/>
        </w:rPr>
        <w:t>董华</w:t>
      </w:r>
    </w:p>
    <w:p w14:paraId="64D3F653">
      <w:pPr>
        <w:spacing w:line="360" w:lineRule="auto"/>
        <w:ind w:left="2310" w:leftChars="1100" w:firstLine="420" w:firstLineChars="0"/>
        <w:rPr>
          <w:rFonts w:hint="eastAsia" w:ascii="宋体" w:hAnsi="宋体" w:eastAsia="黑体"/>
          <w:b/>
          <w:sz w:val="28"/>
          <w:szCs w:val="28"/>
          <w:lang w:eastAsia="zh-CN"/>
        </w:rPr>
      </w:pPr>
      <w:r>
        <w:rPr>
          <w:rFonts w:hint="eastAsia" w:ascii="黑体" w:hAnsi="黑体" w:eastAsia="黑体" w:cs="黑体"/>
          <w:b/>
          <w:sz w:val="28"/>
          <w:szCs w:val="28"/>
        </w:rPr>
        <w:t>审 批 人：</w:t>
      </w:r>
      <w:r>
        <w:rPr>
          <w:rFonts w:hint="eastAsia" w:ascii="黑体" w:hAnsi="黑体" w:eastAsia="黑体" w:cs="黑体"/>
          <w:b/>
          <w:sz w:val="28"/>
          <w:szCs w:val="28"/>
          <w:lang w:val="en-US" w:eastAsia="zh-CN"/>
        </w:rPr>
        <w:t>胡斌</w:t>
      </w:r>
    </w:p>
    <w:p w14:paraId="5B308497">
      <w:pPr>
        <w:spacing w:line="360" w:lineRule="auto"/>
        <w:ind w:left="2310" w:leftChars="1100" w:firstLine="420" w:firstLineChars="0"/>
        <w:rPr>
          <w:rFonts w:hint="eastAsia" w:ascii="宋体" w:hAnsi="宋体" w:eastAsia="宋体"/>
          <w:b/>
          <w:sz w:val="28"/>
          <w:szCs w:val="28"/>
        </w:rPr>
      </w:pPr>
      <w:r>
        <w:rPr>
          <w:rFonts w:hint="eastAsia" w:ascii="黑体" w:hAnsi="黑体" w:eastAsia="黑体" w:cs="黑体"/>
          <w:b/>
          <w:sz w:val="28"/>
          <w:szCs w:val="28"/>
        </w:rPr>
        <w:t>修订日期：</w:t>
      </w:r>
      <w:r>
        <w:rPr>
          <w:rFonts w:hint="eastAsia" w:ascii="黑体" w:hAnsi="黑体" w:eastAsia="黑体" w:cs="黑体"/>
          <w:b/>
          <w:sz w:val="28"/>
          <w:szCs w:val="28"/>
          <w:lang w:val="en-US" w:eastAsia="zh-CN"/>
        </w:rPr>
        <w:t>2025年10月</w:t>
      </w:r>
      <w:r>
        <w:rPr>
          <w:rFonts w:hint="eastAsia" w:ascii="黑体" w:hAnsi="黑体" w:eastAsia="黑体" w:cs="黑体"/>
          <w:b/>
          <w:sz w:val="28"/>
          <w:szCs w:val="28"/>
        </w:rPr>
        <w:t xml:space="preserve"> </w:t>
      </w:r>
    </w:p>
    <w:p w14:paraId="2CCE5A94">
      <w:pPr>
        <w:rPr>
          <w:rFonts w:hint="eastAsia"/>
          <w:lang w:val="en-US" w:eastAsia="zh-CN"/>
        </w:rPr>
      </w:pPr>
    </w:p>
    <w:p w14:paraId="3B48C148">
      <w:pPr>
        <w:rPr>
          <w:rFonts w:hint="eastAsia"/>
          <w:lang w:val="en-US" w:eastAsia="zh-CN"/>
        </w:rPr>
      </w:pPr>
    </w:p>
    <w:p w14:paraId="49B26FD7">
      <w:pPr>
        <w:rPr>
          <w:rFonts w:hint="eastAsia"/>
          <w:lang w:val="en-US" w:eastAsia="zh-CN"/>
        </w:rPr>
      </w:pPr>
    </w:p>
    <w:p w14:paraId="00E8AFE2">
      <w:pPr>
        <w:rPr>
          <w:rFonts w:hint="eastAsia"/>
          <w:lang w:val="en-US" w:eastAsia="zh-CN"/>
        </w:rPr>
      </w:pPr>
    </w:p>
    <w:p w14:paraId="7E8AF435">
      <w:pPr>
        <w:rPr>
          <w:rFonts w:hint="eastAsia"/>
          <w:lang w:val="en-US" w:eastAsia="zh-CN"/>
        </w:rPr>
      </w:pPr>
    </w:p>
    <w:p w14:paraId="645622CC">
      <w:pPr>
        <w:rPr>
          <w:rFonts w:hint="eastAsia"/>
          <w:lang w:val="en-US" w:eastAsia="zh-CN"/>
        </w:rPr>
      </w:pPr>
    </w:p>
    <w:p w14:paraId="5F74AFC4">
      <w:pPr>
        <w:rPr>
          <w:rFonts w:hint="eastAsia"/>
          <w:lang w:val="en-US" w:eastAsia="zh-CN"/>
        </w:rPr>
      </w:pPr>
    </w:p>
    <w:p w14:paraId="2BE5FC5A">
      <w:pPr>
        <w:rPr>
          <w:rFonts w:hint="eastAsia"/>
          <w:lang w:val="en-US" w:eastAsia="zh-CN"/>
        </w:rPr>
      </w:pPr>
    </w:p>
    <w:p w14:paraId="6061E491">
      <w:pPr>
        <w:rPr>
          <w:rFonts w:hint="eastAsia"/>
          <w:lang w:val="en-US" w:eastAsia="zh-CN"/>
        </w:rPr>
      </w:pPr>
    </w:p>
    <w:p w14:paraId="2E770186">
      <w:pPr>
        <w:rPr>
          <w:rFonts w:hint="eastAsia"/>
          <w:lang w:val="en-US" w:eastAsia="zh-CN"/>
        </w:rPr>
      </w:pPr>
    </w:p>
    <w:p w14:paraId="0D0D07D9">
      <w:pPr>
        <w:jc w:val="center"/>
        <w:rPr>
          <w:rFonts w:hint="eastAsia" w:ascii="黑体" w:hAnsi="黑体" w:eastAsia="黑体" w:cs="黑体"/>
          <w:b/>
          <w:sz w:val="52"/>
          <w:szCs w:val="52"/>
          <w:lang w:val="en-US" w:eastAsia="zh-CN"/>
        </w:rPr>
      </w:pPr>
      <w:r>
        <w:rPr>
          <w:rFonts w:hint="eastAsia" w:ascii="黑体" w:hAnsi="黑体" w:eastAsia="黑体" w:cs="黑体"/>
          <w:b/>
          <w:sz w:val="52"/>
          <w:szCs w:val="52"/>
          <w:lang w:val="en-US" w:eastAsia="zh-CN"/>
        </w:rPr>
        <w:t>宣城市机械电子工程学校</w:t>
      </w:r>
    </w:p>
    <w:sdt>
      <w:sdtPr>
        <w:rPr>
          <w:rFonts w:ascii="宋体" w:hAnsi="宋体" w:eastAsia="宋体" w:cs="Times New Roman"/>
          <w:kern w:val="2"/>
          <w:sz w:val="21"/>
          <w:szCs w:val="24"/>
          <w:lang w:val="en-US" w:eastAsia="zh-CN" w:bidi="ar-SA"/>
        </w:rPr>
        <w:id w:val="147454553"/>
        <w15:color w:val="DBDBDB"/>
        <w:docPartObj>
          <w:docPartGallery w:val="Table of Contents"/>
          <w:docPartUnique/>
        </w:docPartObj>
      </w:sdtPr>
      <w:sdtEndPr>
        <w:rPr>
          <w:rFonts w:hint="eastAsia" w:ascii="仿宋" w:hAnsi="仿宋" w:eastAsia="仿宋" w:cs="仿宋"/>
          <w:kern w:val="2"/>
          <w:sz w:val="28"/>
          <w:szCs w:val="36"/>
          <w:lang w:val="en-US" w:eastAsia="zh-CN" w:bidi="ar-SA"/>
        </w:rPr>
      </w:sdtEndPr>
      <w:sdtContent>
        <w:p w14:paraId="363B3E3F">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E8683E4"/>
        <w:p w14:paraId="63136D69">
          <w:pPr>
            <w:spacing w:before="0" w:beforeLines="0" w:after="0" w:afterLines="0" w:line="360" w:lineRule="auto"/>
            <w:ind w:left="0" w:leftChars="0" w:right="0" w:rightChars="0" w:firstLine="0" w:firstLineChars="0"/>
            <w:jc w:val="center"/>
            <w:rPr>
              <w:rFonts w:ascii="宋体" w:hAnsi="宋体" w:eastAsia="宋体"/>
              <w:b/>
              <w:bCs/>
              <w:sz w:val="44"/>
              <w:szCs w:val="4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p>
        <w:p w14:paraId="2EB8CB95"/>
        <w:p w14:paraId="445640AB">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仿宋" w:hAnsi="仿宋" w:eastAsia="仿宋" w:cs="仿宋"/>
              <w:kern w:val="2"/>
              <w:sz w:val="28"/>
              <w:szCs w:val="36"/>
              <w:lang w:val="en-US" w:eastAsia="zh-CN" w:bidi="ar-SA"/>
            </w:rPr>
            <w:fldChar w:fldCharType="begin"/>
          </w:r>
          <w:r>
            <w:rPr>
              <w:rFonts w:hint="eastAsia" w:ascii="仿宋" w:hAnsi="仿宋" w:eastAsia="仿宋" w:cs="仿宋"/>
              <w:kern w:val="2"/>
              <w:sz w:val="28"/>
              <w:szCs w:val="36"/>
              <w:lang w:val="en-US" w:eastAsia="zh-CN" w:bidi="ar-SA"/>
            </w:rPr>
            <w:instrText xml:space="preserve">TOC \o "1-2" \h \u </w:instrText>
          </w:r>
          <w:r>
            <w:rPr>
              <w:rFonts w:hint="eastAsia" w:ascii="仿宋" w:hAnsi="仿宋" w:eastAsia="仿宋" w:cs="仿宋"/>
              <w:kern w:val="2"/>
              <w:sz w:val="28"/>
              <w:szCs w:val="36"/>
              <w:lang w:val="en-US" w:eastAsia="zh-CN" w:bidi="ar-SA"/>
            </w:rPr>
            <w:fldChar w:fldCharType="separate"/>
          </w: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_Toc1125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一、专业名称（</w:t>
          </w:r>
          <w:r>
            <w:rPr>
              <w:rFonts w:hint="eastAsia" w:ascii="黑体" w:hAnsi="黑体" w:eastAsia="黑体" w:cs="黑体"/>
              <w:sz w:val="24"/>
              <w:szCs w:val="24"/>
              <w:lang w:val="en-US" w:eastAsia="zh-CN"/>
            </w:rPr>
            <w:t>专业</w:t>
          </w:r>
          <w:r>
            <w:rPr>
              <w:rFonts w:hint="eastAsia" w:ascii="黑体" w:hAnsi="黑体" w:eastAsia="黑体" w:cs="黑体"/>
              <w:sz w:val="24"/>
              <w:szCs w:val="24"/>
              <w:lang w:val="zh-CN" w:eastAsia="zh-CN"/>
            </w:rPr>
            <w:t>代码）</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_Toc1125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6A0235D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36"/>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_Toc5436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zh-CN" w:eastAsia="zh-CN"/>
            </w:rPr>
            <w:t>二、入学</w:t>
          </w:r>
          <w:r>
            <w:rPr>
              <w:rFonts w:hint="eastAsia" w:ascii="黑体" w:hAnsi="黑体" w:eastAsia="黑体" w:cs="黑体"/>
              <w:bCs w:val="0"/>
              <w:kern w:val="0"/>
              <w:sz w:val="24"/>
              <w:szCs w:val="24"/>
              <w:lang w:val="en-US" w:eastAsia="zh-CN"/>
            </w:rPr>
            <w:t>基本</w:t>
          </w:r>
          <w:r>
            <w:rPr>
              <w:rFonts w:hint="eastAsia" w:ascii="黑体" w:hAnsi="黑体" w:eastAsia="黑体" w:cs="黑体"/>
              <w:bCs w:val="0"/>
              <w:kern w:val="0"/>
              <w:sz w:val="24"/>
              <w:szCs w:val="24"/>
              <w:lang w:val="zh-CN" w:eastAsia="zh-CN"/>
            </w:rPr>
            <w:t>要求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_Toc5436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53D074F1">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_Toc18175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zh-CN" w:eastAsia="zh-CN"/>
            </w:rPr>
            <w:t>三、</w:t>
          </w:r>
          <w:r>
            <w:rPr>
              <w:rFonts w:hint="eastAsia" w:ascii="黑体" w:hAnsi="黑体" w:eastAsia="黑体" w:cs="黑体"/>
              <w:bCs w:val="0"/>
              <w:kern w:val="0"/>
              <w:sz w:val="24"/>
              <w:szCs w:val="24"/>
              <w:lang w:val="en-US" w:eastAsia="zh-CN"/>
            </w:rPr>
            <w:t>基本</w:t>
          </w:r>
          <w:r>
            <w:rPr>
              <w:rFonts w:hint="eastAsia" w:ascii="黑体" w:hAnsi="黑体" w:eastAsia="黑体" w:cs="黑体"/>
              <w:bCs w:val="0"/>
              <w:kern w:val="0"/>
              <w:sz w:val="24"/>
              <w:szCs w:val="24"/>
              <w:lang w:val="zh-CN" w:eastAsia="zh-CN"/>
            </w:rPr>
            <w:t>修业年限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_Toc18175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72835F6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_Toc29517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en-US" w:eastAsia="zh-CN"/>
            </w:rPr>
            <w:t>四、</w:t>
          </w:r>
          <w:r>
            <w:rPr>
              <w:rFonts w:hint="eastAsia" w:ascii="黑体" w:hAnsi="黑体" w:eastAsia="黑体" w:cs="黑体"/>
              <w:bCs w:val="0"/>
              <w:kern w:val="0"/>
              <w:sz w:val="24"/>
              <w:szCs w:val="24"/>
              <w:lang w:val="zh-CN" w:eastAsia="zh-CN"/>
            </w:rPr>
            <w:t>职业面向</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_Toc29517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56647FC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_Toc7764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五、培养目标与培养规格</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_Toc7764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11266FA">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_Toc28510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（一）培养目标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_Toc28510 \h </w:instrText>
          </w:r>
          <w:r>
            <w:rPr>
              <w:rFonts w:hint="eastAsia" w:ascii="楷体" w:hAnsi="楷体" w:eastAsia="楷体" w:cs="楷体"/>
              <w:sz w:val="24"/>
              <w:szCs w:val="24"/>
            </w:rPr>
            <w:fldChar w:fldCharType="separate"/>
          </w:r>
          <w:r>
            <w:rPr>
              <w:rFonts w:hint="eastAsia" w:ascii="楷体" w:hAnsi="楷体" w:eastAsia="楷体" w:cs="楷体"/>
              <w:sz w:val="24"/>
              <w:szCs w:val="24"/>
            </w:rPr>
            <w:t>1</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7F457CDC">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36"/>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_Toc8206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（二）培养规格</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_Toc8206 \h </w:instrText>
          </w:r>
          <w:r>
            <w:rPr>
              <w:rFonts w:hint="eastAsia" w:ascii="楷体" w:hAnsi="楷体" w:eastAsia="楷体" w:cs="楷体"/>
              <w:sz w:val="24"/>
              <w:szCs w:val="24"/>
            </w:rPr>
            <w:fldChar w:fldCharType="separate"/>
          </w:r>
          <w:r>
            <w:rPr>
              <w:rFonts w:hint="eastAsia" w:ascii="楷体" w:hAnsi="楷体" w:eastAsia="楷体" w:cs="楷体"/>
              <w:sz w:val="24"/>
              <w:szCs w:val="24"/>
            </w:rPr>
            <w:t>2</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0784258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_Toc5126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六、课程设置及学时安排</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_Toc5126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0D8F748C">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_Toc4536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（一）公共基础课程</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_Toc4536 \h </w:instrText>
          </w:r>
          <w:r>
            <w:rPr>
              <w:rFonts w:hint="eastAsia" w:ascii="楷体" w:hAnsi="楷体" w:eastAsia="楷体" w:cs="楷体"/>
              <w:sz w:val="24"/>
              <w:szCs w:val="24"/>
            </w:rPr>
            <w:fldChar w:fldCharType="separate"/>
          </w:r>
          <w:r>
            <w:rPr>
              <w:rFonts w:hint="eastAsia" w:ascii="楷体" w:hAnsi="楷体" w:eastAsia="楷体" w:cs="楷体"/>
              <w:sz w:val="24"/>
              <w:szCs w:val="24"/>
            </w:rPr>
            <w:t>4</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48AA63DD">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_Toc2243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w:t>
          </w:r>
          <w:r>
            <w:rPr>
              <w:rFonts w:hint="eastAsia" w:ascii="楷体" w:hAnsi="楷体" w:eastAsia="楷体" w:cs="楷体"/>
              <w:sz w:val="24"/>
              <w:szCs w:val="24"/>
              <w:lang w:val="en-US" w:eastAsia="zh-CN"/>
            </w:rPr>
            <w:t>二</w:t>
          </w:r>
          <w:r>
            <w:rPr>
              <w:rFonts w:hint="eastAsia" w:ascii="楷体" w:hAnsi="楷体" w:eastAsia="楷体" w:cs="楷体"/>
              <w:sz w:val="24"/>
              <w:szCs w:val="24"/>
              <w:lang w:val="zh-CN" w:eastAsia="zh-CN"/>
            </w:rPr>
            <w:t>）专业课程</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_Toc2243 \h </w:instrText>
          </w:r>
          <w:r>
            <w:rPr>
              <w:rFonts w:hint="eastAsia" w:ascii="楷体" w:hAnsi="楷体" w:eastAsia="楷体" w:cs="楷体"/>
              <w:sz w:val="24"/>
              <w:szCs w:val="24"/>
            </w:rPr>
            <w:fldChar w:fldCharType="separate"/>
          </w:r>
          <w:r>
            <w:rPr>
              <w:rFonts w:hint="eastAsia" w:ascii="楷体" w:hAnsi="楷体" w:eastAsia="楷体" w:cs="楷体"/>
              <w:sz w:val="24"/>
              <w:szCs w:val="24"/>
            </w:rPr>
            <w:t>9</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3205DB6D">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_Toc7278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七、教学进程总体安排</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_Toc7278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338AB0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_Toc23410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八、实施保障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_Toc23410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71434D85">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_Toc17160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（一）师资队伍</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_Toc17160 \h </w:instrText>
          </w:r>
          <w:r>
            <w:rPr>
              <w:rFonts w:hint="eastAsia" w:ascii="楷体" w:hAnsi="楷体" w:eastAsia="楷体" w:cs="楷体"/>
              <w:sz w:val="24"/>
              <w:szCs w:val="24"/>
            </w:rPr>
            <w:fldChar w:fldCharType="separate"/>
          </w:r>
          <w:r>
            <w:rPr>
              <w:rFonts w:hint="eastAsia" w:ascii="楷体" w:hAnsi="楷体" w:eastAsia="楷体" w:cs="楷体"/>
              <w:sz w:val="24"/>
              <w:szCs w:val="24"/>
            </w:rPr>
            <w:t>15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0DF11A64">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_Toc9811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（二）教学设施</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_Toc9811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63141102">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_Toc22140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（三）教学资源</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_Toc22140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5DB4AA7A">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_Toc32592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（四）教学</w:t>
          </w:r>
          <w:r>
            <w:rPr>
              <w:rFonts w:hint="eastAsia" w:ascii="楷体" w:hAnsi="楷体" w:eastAsia="楷体" w:cs="楷体"/>
              <w:sz w:val="24"/>
              <w:szCs w:val="24"/>
              <w:lang w:val="en-US" w:eastAsia="zh-CN"/>
            </w:rPr>
            <w:t>方法</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_Toc32592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bookmarkStart w:id="34" w:name="_GoBack"/>
          <w:bookmarkEnd w:id="34"/>
        </w:p>
        <w:p w14:paraId="4660D271">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_Toc17048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（五）</w:t>
          </w:r>
          <w:r>
            <w:rPr>
              <w:rFonts w:hint="eastAsia" w:ascii="楷体" w:hAnsi="楷体" w:eastAsia="楷体" w:cs="楷体"/>
              <w:sz w:val="24"/>
              <w:szCs w:val="24"/>
              <w:lang w:val="en-US" w:eastAsia="zh-CN"/>
            </w:rPr>
            <w:t>学习</w:t>
          </w:r>
          <w:r>
            <w:rPr>
              <w:rFonts w:hint="eastAsia" w:ascii="楷体" w:hAnsi="楷体" w:eastAsia="楷体" w:cs="楷体"/>
              <w:sz w:val="24"/>
              <w:szCs w:val="24"/>
              <w:lang w:val="zh-CN" w:eastAsia="zh-CN"/>
            </w:rPr>
            <w:t>评价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_Toc17048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3068AEA5">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_Toc16998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（六）质量管理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_Toc16998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2B30D296">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_Toc7486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九、毕业要求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_Toc7486 \h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23FB058">
          <w:pPr>
            <w:rPr>
              <w:rFonts w:hint="eastAsia" w:ascii="仿宋" w:hAnsi="仿宋" w:eastAsia="仿宋" w:cs="仿宋"/>
              <w:kern w:val="2"/>
              <w:sz w:val="28"/>
              <w:szCs w:val="36"/>
              <w:lang w:val="en-US" w:eastAsia="zh-CN" w:bidi="ar-SA"/>
            </w:rPr>
          </w:pPr>
          <w:r>
            <w:rPr>
              <w:rFonts w:hint="eastAsia" w:ascii="仿宋" w:hAnsi="仿宋" w:eastAsia="仿宋" w:cs="仿宋"/>
              <w:kern w:val="2"/>
              <w:sz w:val="28"/>
              <w:szCs w:val="36"/>
              <w:lang w:val="en-US" w:eastAsia="zh-CN" w:bidi="ar-SA"/>
            </w:rPr>
            <w:fldChar w:fldCharType="end"/>
          </w:r>
        </w:p>
      </w:sdtContent>
    </w:sdt>
    <w:p w14:paraId="311EE136">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4F0EBD">
      <w:pPr>
        <w:keepNext w:val="0"/>
        <w:keepLines w:val="0"/>
        <w:pageBreakBefore w:val="0"/>
        <w:widowControl w:val="0"/>
        <w:kinsoku/>
        <w:wordWrap/>
        <w:overflowPunct/>
        <w:topLinePunct w:val="0"/>
        <w:autoSpaceDE/>
        <w:autoSpaceDN/>
        <w:bidi w:val="0"/>
        <w:adjustRightInd/>
        <w:snapToGrid/>
        <w:spacing w:after="0" w:afterLines="200" w:line="360" w:lineRule="auto"/>
        <w:jc w:val="center"/>
        <w:textAlignment w:val="auto"/>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新能源汽车运用与维修专业</w:t>
      </w:r>
    </w:p>
    <w:p w14:paraId="36BA2EBD">
      <w:pPr>
        <w:keepNext w:val="0"/>
        <w:keepLines w:val="0"/>
        <w:pageBreakBefore w:val="0"/>
        <w:widowControl w:val="0"/>
        <w:kinsoku/>
        <w:wordWrap/>
        <w:overflowPunct/>
        <w:topLinePunct w:val="0"/>
        <w:autoSpaceDE/>
        <w:autoSpaceDN/>
        <w:bidi w:val="0"/>
        <w:adjustRightInd/>
        <w:snapToGrid/>
        <w:spacing w:after="0" w:afterLines="200" w:line="360" w:lineRule="auto"/>
        <w:jc w:val="center"/>
        <w:textAlignment w:val="auto"/>
        <w:rPr>
          <w:rFonts w:hint="eastAsia" w:ascii="黑体" w:hAnsi="黑体" w:eastAsia="黑体" w:cs="黑体"/>
          <w:b w:val="0"/>
          <w:bCs w:val="0"/>
          <w:kern w:val="0"/>
          <w:sz w:val="28"/>
          <w:szCs w:val="24"/>
          <w:lang w:val="zh-CN" w:eastAsia="zh-CN"/>
        </w:rPr>
      </w:pPr>
      <w:r>
        <w:rPr>
          <w:rFonts w:hint="eastAsia" w:ascii="宋体" w:hAnsi="宋体" w:eastAsia="宋体" w:cs="宋体"/>
          <w:b/>
          <w:bCs w:val="0"/>
          <w:sz w:val="44"/>
          <w:szCs w:val="44"/>
          <w:lang w:val="en-US" w:eastAsia="zh-CN"/>
        </w:rPr>
        <w:t>人才培养方案</w:t>
      </w:r>
    </w:p>
    <w:p w14:paraId="6C8CEEAC">
      <w:pPr>
        <w:pStyle w:val="2"/>
        <w:bidi w:val="0"/>
        <w:rPr>
          <w:rFonts w:hint="eastAsia"/>
          <w:lang w:val="zh-CN" w:eastAsia="zh-CN"/>
        </w:rPr>
      </w:pPr>
      <w:bookmarkStart w:id="3" w:name="_Toc1125"/>
      <w:r>
        <w:rPr>
          <w:rFonts w:hint="eastAsia"/>
          <w:lang w:val="zh-CN" w:eastAsia="zh-CN"/>
        </w:rPr>
        <w:t>一、专业名称（</w:t>
      </w:r>
      <w:r>
        <w:rPr>
          <w:rFonts w:hint="eastAsia"/>
          <w:lang w:val="en-US" w:eastAsia="zh-CN"/>
        </w:rPr>
        <w:t>专业</w:t>
      </w:r>
      <w:r>
        <w:rPr>
          <w:rFonts w:hint="eastAsia"/>
          <w:lang w:val="zh-CN" w:eastAsia="zh-CN"/>
        </w:rPr>
        <w:t>代码）</w:t>
      </w:r>
      <w:bookmarkEnd w:id="3"/>
    </w:p>
    <w:p w14:paraId="13E73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新能源汽车运用与维修（70020</w:t>
      </w:r>
      <w:bookmarkStart w:id="4" w:name="_Toc76341430"/>
      <w:bookmarkStart w:id="5" w:name="_Toc76285544"/>
      <w:bookmarkStart w:id="6" w:name="_Toc76342125"/>
      <w:bookmarkStart w:id="7" w:name="_Toc76340314"/>
      <w:r>
        <w:rPr>
          <w:rFonts w:hint="eastAsia" w:ascii="仿宋" w:hAnsi="仿宋" w:eastAsia="仿宋" w:cs="仿宋"/>
          <w:b w:val="0"/>
          <w:bCs w:val="0"/>
          <w:kern w:val="0"/>
          <w:sz w:val="24"/>
          <w:szCs w:val="24"/>
          <w:lang w:val="en-US" w:eastAsia="zh-CN"/>
        </w:rPr>
        <w:t>9</w:t>
      </w:r>
      <w:r>
        <w:rPr>
          <w:rFonts w:hint="eastAsia" w:ascii="仿宋" w:hAnsi="仿宋" w:eastAsia="仿宋" w:cs="仿宋"/>
          <w:b w:val="0"/>
          <w:bCs w:val="0"/>
          <w:kern w:val="0"/>
          <w:sz w:val="24"/>
          <w:szCs w:val="24"/>
          <w:lang w:val="zh-CN" w:eastAsia="zh-CN"/>
        </w:rPr>
        <w:t>）</w:t>
      </w:r>
    </w:p>
    <w:bookmarkEnd w:id="4"/>
    <w:bookmarkEnd w:id="5"/>
    <w:bookmarkEnd w:id="6"/>
    <w:bookmarkEnd w:id="7"/>
    <w:p w14:paraId="3151A56B">
      <w:pPr>
        <w:pStyle w:val="2"/>
        <w:bidi w:val="0"/>
        <w:rPr>
          <w:rFonts w:hint="eastAsia" w:ascii="黑体" w:hAnsi="黑体" w:eastAsia="黑体" w:cs="黑体"/>
          <w:b w:val="0"/>
          <w:bCs w:val="0"/>
          <w:kern w:val="0"/>
          <w:sz w:val="28"/>
          <w:szCs w:val="24"/>
          <w:lang w:val="zh-CN" w:eastAsia="zh-CN"/>
        </w:rPr>
      </w:pPr>
      <w:bookmarkStart w:id="8" w:name="_Toc5436"/>
      <w:r>
        <w:rPr>
          <w:rFonts w:hint="eastAsia" w:ascii="黑体" w:hAnsi="黑体" w:eastAsia="黑体" w:cs="黑体"/>
          <w:b w:val="0"/>
          <w:bCs w:val="0"/>
          <w:kern w:val="0"/>
          <w:sz w:val="28"/>
          <w:szCs w:val="24"/>
          <w:lang w:val="zh-CN" w:eastAsia="zh-CN"/>
        </w:rPr>
        <w:t>二、入学</w:t>
      </w:r>
      <w:r>
        <w:rPr>
          <w:rFonts w:hint="eastAsia" w:ascii="黑体" w:hAnsi="黑体" w:eastAsia="黑体" w:cs="黑体"/>
          <w:b w:val="0"/>
          <w:bCs w:val="0"/>
          <w:kern w:val="0"/>
          <w:sz w:val="28"/>
          <w:szCs w:val="24"/>
          <w:lang w:val="en-US" w:eastAsia="zh-CN"/>
        </w:rPr>
        <w:t>基本</w:t>
      </w:r>
      <w:r>
        <w:rPr>
          <w:rFonts w:hint="eastAsia" w:ascii="黑体" w:hAnsi="黑体" w:eastAsia="黑体" w:cs="黑体"/>
          <w:b w:val="0"/>
          <w:bCs w:val="0"/>
          <w:kern w:val="0"/>
          <w:sz w:val="28"/>
          <w:szCs w:val="24"/>
          <w:lang w:val="zh-CN" w:eastAsia="zh-CN"/>
        </w:rPr>
        <w:t>要求</w:t>
      </w:r>
      <w:bookmarkEnd w:id="8"/>
    </w:p>
    <w:p w14:paraId="634E4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初级中等学校毕业或具备同等学力</w:t>
      </w:r>
    </w:p>
    <w:p w14:paraId="1E3118B2">
      <w:pPr>
        <w:pStyle w:val="2"/>
        <w:bidi w:val="0"/>
        <w:rPr>
          <w:rFonts w:hint="eastAsia" w:ascii="黑体" w:hAnsi="黑体" w:eastAsia="黑体" w:cs="黑体"/>
          <w:b w:val="0"/>
          <w:bCs w:val="0"/>
          <w:kern w:val="0"/>
          <w:sz w:val="28"/>
          <w:szCs w:val="24"/>
          <w:lang w:val="zh-CN" w:eastAsia="zh-CN"/>
        </w:rPr>
      </w:pPr>
      <w:bookmarkStart w:id="9" w:name="_Toc18175"/>
      <w:r>
        <w:rPr>
          <w:rFonts w:hint="eastAsia" w:ascii="黑体" w:hAnsi="黑体" w:eastAsia="黑体" w:cs="黑体"/>
          <w:b w:val="0"/>
          <w:bCs w:val="0"/>
          <w:kern w:val="0"/>
          <w:sz w:val="28"/>
          <w:szCs w:val="24"/>
          <w:lang w:val="zh-CN" w:eastAsia="zh-CN"/>
        </w:rPr>
        <w:t>三、</w:t>
      </w:r>
      <w:r>
        <w:rPr>
          <w:rFonts w:hint="eastAsia" w:ascii="黑体" w:hAnsi="黑体" w:eastAsia="黑体" w:cs="黑体"/>
          <w:b w:val="0"/>
          <w:bCs w:val="0"/>
          <w:kern w:val="0"/>
          <w:sz w:val="28"/>
          <w:szCs w:val="24"/>
          <w:lang w:val="en-US" w:eastAsia="zh-CN"/>
        </w:rPr>
        <w:t>基本</w:t>
      </w:r>
      <w:r>
        <w:rPr>
          <w:rFonts w:hint="eastAsia" w:ascii="黑体" w:hAnsi="黑体" w:eastAsia="黑体" w:cs="黑体"/>
          <w:b w:val="0"/>
          <w:bCs w:val="0"/>
          <w:kern w:val="0"/>
          <w:sz w:val="28"/>
          <w:szCs w:val="24"/>
          <w:lang w:val="zh-CN" w:eastAsia="zh-CN"/>
        </w:rPr>
        <w:t>修业年限</w:t>
      </w:r>
      <w:bookmarkEnd w:id="9"/>
    </w:p>
    <w:p w14:paraId="36981B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三</w:t>
      </w:r>
      <w:r>
        <w:rPr>
          <w:rFonts w:hint="eastAsia" w:ascii="仿宋" w:hAnsi="仿宋" w:eastAsia="仿宋" w:cs="仿宋"/>
          <w:b w:val="0"/>
          <w:bCs w:val="0"/>
          <w:kern w:val="0"/>
          <w:sz w:val="24"/>
          <w:szCs w:val="24"/>
          <w:lang w:val="zh-CN" w:eastAsia="zh-CN"/>
        </w:rPr>
        <w:t>年</w:t>
      </w:r>
    </w:p>
    <w:p w14:paraId="18EDA23F">
      <w:pPr>
        <w:pStyle w:val="2"/>
        <w:bidi w:val="0"/>
        <w:rPr>
          <w:rFonts w:hint="eastAsia" w:ascii="黑体" w:hAnsi="黑体" w:eastAsia="黑体" w:cs="黑体"/>
          <w:b w:val="0"/>
          <w:bCs w:val="0"/>
          <w:kern w:val="0"/>
          <w:sz w:val="28"/>
          <w:szCs w:val="24"/>
          <w:lang w:val="zh-CN" w:eastAsia="zh-CN"/>
        </w:rPr>
      </w:pPr>
      <w:bookmarkStart w:id="10" w:name="_Toc29517"/>
      <w:r>
        <w:rPr>
          <w:rFonts w:hint="eastAsia" w:ascii="黑体" w:hAnsi="黑体" w:eastAsia="黑体" w:cs="黑体"/>
          <w:b w:val="0"/>
          <w:bCs w:val="0"/>
          <w:kern w:val="0"/>
          <w:sz w:val="28"/>
          <w:szCs w:val="24"/>
          <w:lang w:val="en-US" w:eastAsia="zh-CN"/>
        </w:rPr>
        <w:t>四、</w:t>
      </w:r>
      <w:r>
        <w:rPr>
          <w:rFonts w:hint="eastAsia" w:ascii="黑体" w:hAnsi="黑体" w:eastAsia="黑体" w:cs="黑体"/>
          <w:b w:val="0"/>
          <w:bCs w:val="0"/>
          <w:kern w:val="0"/>
          <w:sz w:val="28"/>
          <w:szCs w:val="24"/>
          <w:lang w:val="zh-CN" w:eastAsia="zh-CN"/>
        </w:rPr>
        <w:t>职业面向</w:t>
      </w:r>
      <w:bookmarkEnd w:id="10"/>
    </w:p>
    <w:p w14:paraId="72737354">
      <w:pPr>
        <w:rPr>
          <w:rFonts w:hint="eastAsia"/>
          <w:lang w:val="zh-CN" w:eastAsia="zh-CN"/>
        </w:rPr>
      </w:pPr>
    </w:p>
    <w:tbl>
      <w:tblPr>
        <w:tblStyle w:val="12"/>
        <w:tblW w:w="0" w:type="auto"/>
        <w:tblInd w:w="5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4845"/>
      </w:tblGrid>
      <w:tr w14:paraId="2AB09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7115AA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所属专业大类（代码）</w:t>
            </w:r>
          </w:p>
        </w:tc>
        <w:tc>
          <w:tcPr>
            <w:tcW w:w="4845" w:type="dxa"/>
            <w:tcBorders>
              <w:tl2br w:val="nil"/>
              <w:tr2bl w:val="nil"/>
            </w:tcBorders>
            <w:vAlign w:val="center"/>
          </w:tcPr>
          <w:p w14:paraId="7B1A6F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交通运输大类（70）</w:t>
            </w:r>
          </w:p>
        </w:tc>
      </w:tr>
      <w:tr w14:paraId="77570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7DB0E3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所属专业类（代码）</w:t>
            </w:r>
          </w:p>
        </w:tc>
        <w:tc>
          <w:tcPr>
            <w:tcW w:w="4845" w:type="dxa"/>
            <w:tcBorders>
              <w:tl2br w:val="nil"/>
              <w:tr2bl w:val="nil"/>
            </w:tcBorders>
            <w:vAlign w:val="center"/>
          </w:tcPr>
          <w:p w14:paraId="193A0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道路运输类（7002）</w:t>
            </w:r>
          </w:p>
        </w:tc>
      </w:tr>
      <w:tr w14:paraId="601E7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5AFE7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对应行业（代码）</w:t>
            </w:r>
          </w:p>
        </w:tc>
        <w:tc>
          <w:tcPr>
            <w:tcW w:w="4845" w:type="dxa"/>
            <w:tcBorders>
              <w:tl2br w:val="nil"/>
              <w:tr2bl w:val="nil"/>
            </w:tcBorders>
            <w:vAlign w:val="center"/>
          </w:tcPr>
          <w:p w14:paraId="24292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新能源汽车制造（3611）、新能源汽车充电服务（4440）、汽车租赁（7111）</w:t>
            </w:r>
          </w:p>
        </w:tc>
      </w:tr>
      <w:tr w14:paraId="2D87B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4D804C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主要职业类别（代码）</w:t>
            </w:r>
          </w:p>
        </w:tc>
        <w:tc>
          <w:tcPr>
            <w:tcW w:w="4845" w:type="dxa"/>
            <w:tcBorders>
              <w:tl2br w:val="nil"/>
              <w:tr2bl w:val="nil"/>
            </w:tcBorders>
            <w:vAlign w:val="center"/>
          </w:tcPr>
          <w:p w14:paraId="0207C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汽车维修工（4-12-01-01）（新能源汽车方向）、新能源汽车充电桩安装检修工（6-29-03-08）</w:t>
            </w:r>
          </w:p>
        </w:tc>
      </w:tr>
      <w:tr w14:paraId="72FAB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0062EA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主要岗位（群）或技术领域</w:t>
            </w:r>
          </w:p>
        </w:tc>
        <w:tc>
          <w:tcPr>
            <w:tcW w:w="4845" w:type="dxa"/>
            <w:tcBorders>
              <w:tl2br w:val="nil"/>
              <w:tr2bl w:val="nil"/>
            </w:tcBorders>
            <w:vAlign w:val="center"/>
          </w:tcPr>
          <w:p w14:paraId="669A7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新能源汽车维护、新能源汽车检修、动力电池系统维护、新能源汽车充电设施运维、新能源汽车充电桩安装检修</w:t>
            </w:r>
          </w:p>
        </w:tc>
      </w:tr>
      <w:tr w14:paraId="1B9F7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15BBEB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en-US" w:eastAsia="zh-CN"/>
              </w:rPr>
              <w:t>拓展</w:t>
            </w:r>
            <w:r>
              <w:rPr>
                <w:rFonts w:hint="eastAsia" w:ascii="仿宋" w:hAnsi="仿宋" w:eastAsia="仿宋" w:cs="仿宋"/>
                <w:b w:val="0"/>
                <w:bCs w:val="0"/>
                <w:kern w:val="0"/>
                <w:sz w:val="21"/>
                <w:szCs w:val="21"/>
                <w:lang w:val="zh-CN" w:eastAsia="zh-CN"/>
              </w:rPr>
              <w:t>岗位（群）或技术领域</w:t>
            </w:r>
          </w:p>
        </w:tc>
        <w:tc>
          <w:tcPr>
            <w:tcW w:w="4845" w:type="dxa"/>
            <w:tcBorders>
              <w:tl2br w:val="nil"/>
              <w:tr2bl w:val="nil"/>
            </w:tcBorders>
            <w:vAlign w:val="center"/>
          </w:tcPr>
          <w:p w14:paraId="1886A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zh-CN" w:eastAsia="zh-CN"/>
              </w:rPr>
              <w:t>新能源汽车售后服务、新能源汽车配件管理、新能源汽车检测辅助、新能源汽车电池回收与梯次利用、智能网联汽车维护</w:t>
            </w:r>
          </w:p>
        </w:tc>
      </w:tr>
      <w:tr w14:paraId="23EDE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0ED6FD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职业技能等级证书</w:t>
            </w:r>
          </w:p>
        </w:tc>
        <w:tc>
          <w:tcPr>
            <w:tcW w:w="4845" w:type="dxa"/>
            <w:tcBorders>
              <w:tl2br w:val="nil"/>
              <w:tr2bl w:val="nil"/>
            </w:tcBorders>
            <w:vAlign w:val="center"/>
          </w:tcPr>
          <w:p w14:paraId="7AE45D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zh-CN" w:eastAsia="zh-CN"/>
              </w:rPr>
              <w:t>汽车维修工（</w:t>
            </w:r>
            <w:r>
              <w:rPr>
                <w:rFonts w:hint="eastAsia" w:ascii="仿宋" w:hAnsi="仿宋" w:eastAsia="仿宋" w:cs="仿宋"/>
                <w:b w:val="0"/>
                <w:bCs w:val="0"/>
                <w:kern w:val="0"/>
                <w:sz w:val="21"/>
                <w:szCs w:val="21"/>
                <w:lang w:val="en-US" w:eastAsia="zh-CN"/>
              </w:rPr>
              <w:t>中级</w:t>
            </w: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低压电工证</w:t>
            </w:r>
          </w:p>
        </w:tc>
      </w:tr>
    </w:tbl>
    <w:p w14:paraId="64BDC67E">
      <w:pPr>
        <w:spacing w:line="360" w:lineRule="auto"/>
        <w:rPr>
          <w:rFonts w:hint="eastAsia" w:ascii="仿宋" w:hAnsi="仿宋" w:eastAsia="仿宋" w:cs="仿宋"/>
          <w:sz w:val="24"/>
          <w:szCs w:val="24"/>
          <w:lang w:val="zh-CN" w:eastAsia="zh-CN"/>
        </w:rPr>
      </w:pPr>
    </w:p>
    <w:p w14:paraId="56D9C3A7">
      <w:pPr>
        <w:pStyle w:val="2"/>
        <w:bidi w:val="0"/>
        <w:rPr>
          <w:rFonts w:hint="eastAsia"/>
          <w:lang w:val="zh-CN" w:eastAsia="zh-CN"/>
        </w:rPr>
      </w:pPr>
      <w:bookmarkStart w:id="11" w:name="_Toc7764"/>
      <w:r>
        <w:rPr>
          <w:rFonts w:hint="eastAsia"/>
          <w:lang w:val="zh-CN" w:eastAsia="zh-CN"/>
        </w:rPr>
        <w:t>五、培养目标与培养规格</w:t>
      </w:r>
      <w:bookmarkEnd w:id="11"/>
    </w:p>
    <w:p w14:paraId="045BC54C">
      <w:pPr>
        <w:pStyle w:val="3"/>
        <w:bidi w:val="0"/>
        <w:rPr>
          <w:rFonts w:hint="eastAsia"/>
          <w:lang w:val="zh-CN" w:eastAsia="zh-CN"/>
        </w:rPr>
      </w:pPr>
      <w:bookmarkStart w:id="12" w:name="_Toc28510"/>
      <w:r>
        <w:rPr>
          <w:rFonts w:hint="eastAsia"/>
          <w:lang w:val="zh-CN" w:eastAsia="zh-CN"/>
        </w:rPr>
        <w:t>（一）培养目标</w:t>
      </w:r>
      <w:bookmarkEnd w:id="12"/>
    </w:p>
    <w:p w14:paraId="7D7EE6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汽车修理与维护行业的新能源汽车维修人员、检验试验人员、机动车检测人员、充电桩安装检修人员等职业，能够从事新能源汽车整车及总成维护、修理、调试、检测和质量检验，新能源汽车充电桩安装检修等工作的技能人才。</w:t>
      </w:r>
    </w:p>
    <w:p w14:paraId="48EA2ABA">
      <w:pPr>
        <w:pStyle w:val="3"/>
        <w:bidi w:val="0"/>
        <w:rPr>
          <w:rFonts w:hint="eastAsia"/>
          <w:lang w:val="zh-CN" w:eastAsia="zh-CN"/>
        </w:rPr>
      </w:pPr>
      <w:bookmarkStart w:id="13" w:name="_Toc8206"/>
      <w:r>
        <w:rPr>
          <w:rFonts w:hint="eastAsia"/>
          <w:lang w:val="zh-CN" w:eastAsia="zh-CN"/>
        </w:rPr>
        <w:t>（二）培养规格</w:t>
      </w:r>
      <w:bookmarkEnd w:id="13"/>
    </w:p>
    <w:p w14:paraId="250E8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本专业学生应全面提升知识、能力、素质，筑牢科学文化知识和专业类通用技术技能基础，掌握并实际运用岗位（群）需要的专业技术技能，实现德智体美劳全面发展，总体上须达到以下要求：</w:t>
      </w:r>
    </w:p>
    <w:p w14:paraId="2078E7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1.知识</w:t>
      </w:r>
    </w:p>
    <w:p w14:paraId="1C5C95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（1）公共基础理论知识：掌握思想政治、语文、历史、数学、物理、化学、英语、信息技术、体育与健康、艺术、劳动教育等必备的文化基础知识，能为专业学习和终身发展提供支撑。</w:t>
      </w:r>
    </w:p>
    <w:p w14:paraId="2F5DA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专业基础理论知识：掌握汽车机械常识、新能源汽车电工电子基础、新能源汽车材料、新能源汽车概论等知识；理解新能源汽车（纯电动、混合动力）基本结构和工作原理，掌握动力电池、驱动电机、电控系统的基础理论知识。</w:t>
      </w:r>
    </w:p>
    <w:p w14:paraId="784D0D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业核心理论知识：掌握新能源汽车维修常用工具、专用检测仪器设备的选择与使用知识；掌握新能源汽车定期维护的规范和流程；掌握动力电池系统、驱动电机系统、电控系统、充电系统及辅助电气系统的检修原理和方法；掌握新能源汽车高压安全防护知识；了解新能源汽车智能网联基础理论和数字化维修技术基础知识。</w:t>
      </w:r>
    </w:p>
    <w:p w14:paraId="4BAA43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（4）行业规范知识：熟悉新能源汽车维修行业相关法律法规、高压安全操作规程、充电设施安全管理规范、环境保护要求及质量管理标准。</w:t>
      </w:r>
    </w:p>
    <w:p w14:paraId="02C03C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2.能力</w:t>
      </w:r>
    </w:p>
    <w:p w14:paraId="4FCD2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基础能力：具备良好的语言表达和文字沟通能力，能清晰与客户、同事交流；具备基本的计算机操作能力，能运用信息技术获取维修资料、处理工作数据；具备职业生涯规划能力和终身学习能力，能适应行业技术更新需求。</w:t>
      </w:r>
    </w:p>
    <w:p w14:paraId="785BE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专业基本技能：能正确识读新能源汽车零件图、装配图和维修技术资料；能熟练选择并使用新能源汽车维修常用工具、专用量具及检测仪器设备；能规范完成新能源汽车各总成的拆装与装配间隙调整；具备新能源汽车高压安全防护实操能力和环境保护实操能力。</w:t>
      </w:r>
    </w:p>
    <w:p w14:paraId="1C709A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业核心技能：能按照规范流程完成新能源汽车动力电池系统、驱动电机系统、电控系统及辅助电气系统的定期维护作业；能对新能源汽车动力电池系统、驱动电机系统、电控系统进行检测与故障排除；能完成新能源汽车充电系统的检测与维护；能对新能源汽车车身电气设备及其电路进行拆装、检测与修理；具备初步的新能源汽车数字化诊断与维修技能，能运用专用诊断设备辅助完成维修工作。</w:t>
      </w:r>
    </w:p>
    <w:p w14:paraId="65587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拓展能力：具备基本的新能源汽车维修接待和客户服务能力；能协助完成新能源汽车配件的采购、入库、出库等管理工作；了解新能源汽车智能网联系统基本功能，具备充电设施安装与调试的基础能力；具备新能源汽车保险理赔辅助服务能力。</w:t>
      </w:r>
    </w:p>
    <w:p w14:paraId="246BA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3.素养</w:t>
      </w:r>
    </w:p>
    <w:p w14:paraId="1344F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w:t>
      </w:r>
      <w:r>
        <w:rPr>
          <w:rFonts w:hint="default" w:ascii="仿宋" w:hAnsi="仿宋" w:eastAsia="仿宋" w:cs="仿宋"/>
          <w:b w:val="0"/>
          <w:bCs w:val="0"/>
          <w:kern w:val="0"/>
          <w:sz w:val="24"/>
          <w:szCs w:val="24"/>
          <w:lang w:val="en-US" w:eastAsia="zh-CN"/>
        </w:rPr>
        <w:t>政治思想素质：坚定拥护中国共产党领导和中国特色社会主义制度，以习近平新时代中国特色社会主义思想为指导，践行社会主义核心价值观，具有坚定的理想信念、深厚的爱国情感和中华民族自豪感。</w:t>
      </w:r>
    </w:p>
    <w:p w14:paraId="38EB4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w:t>
      </w:r>
      <w:r>
        <w:rPr>
          <w:rFonts w:hint="default" w:ascii="仿宋" w:hAnsi="仿宋" w:eastAsia="仿宋" w:cs="仿宋"/>
          <w:b w:val="0"/>
          <w:bCs w:val="0"/>
          <w:kern w:val="0"/>
          <w:sz w:val="24"/>
          <w:szCs w:val="24"/>
          <w:lang w:val="en-US" w:eastAsia="zh-CN"/>
        </w:rPr>
        <w:t>职业素养：遵守新能源汽车行业相关法律法规和职业道德准则，具有爱岗敬业、诚实守信、服务客户、团结协作的职业精神；秉持精益求精的工匠精神，严格遵守高压安全操作规程，重视绿色生产、环境保护和质量管理，具备较强的安全责任意识和社会担当精神。</w:t>
      </w:r>
    </w:p>
    <w:p w14:paraId="716E35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w:t>
      </w:r>
      <w:r>
        <w:rPr>
          <w:rFonts w:hint="default" w:ascii="仿宋" w:hAnsi="仿宋" w:eastAsia="仿宋" w:cs="仿宋"/>
          <w:b w:val="0"/>
          <w:bCs w:val="0"/>
          <w:kern w:val="0"/>
          <w:sz w:val="24"/>
          <w:szCs w:val="24"/>
          <w:lang w:val="en-US" w:eastAsia="zh-CN"/>
        </w:rPr>
        <w:t>文化素养：具有良好的人文素养与科学素养，掌握必备的文化基础知识，具备一定的文化鉴赏能力和逻辑思维能力；了解汽车行业文化，具有适应行业发展的文化包容度。</w:t>
      </w:r>
    </w:p>
    <w:p w14:paraId="130BC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w:t>
      </w:r>
      <w:r>
        <w:rPr>
          <w:rFonts w:hint="default" w:ascii="仿宋" w:hAnsi="仿宋" w:eastAsia="仿宋" w:cs="仿宋"/>
          <w:b w:val="0"/>
          <w:bCs w:val="0"/>
          <w:kern w:val="0"/>
          <w:sz w:val="24"/>
          <w:szCs w:val="24"/>
          <w:lang w:val="en-US" w:eastAsia="zh-CN"/>
        </w:rPr>
        <w:t>身心素质：具有健康的体魄，掌握基本的体育运动技能，养成良好的运动习惯和卫生习惯；具备良好的心理素质，能承受职业岗位压力，具有积极乐观的心态和较强的心理调适能力。</w:t>
      </w:r>
    </w:p>
    <w:p w14:paraId="160D4E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（5）</w:t>
      </w:r>
      <w:r>
        <w:rPr>
          <w:rFonts w:hint="default" w:ascii="仿宋" w:hAnsi="仿宋" w:eastAsia="仿宋" w:cs="仿宋"/>
          <w:b w:val="0"/>
          <w:bCs w:val="0"/>
          <w:kern w:val="0"/>
          <w:sz w:val="24"/>
          <w:szCs w:val="24"/>
          <w:lang w:val="en-US" w:eastAsia="zh-CN"/>
        </w:rPr>
        <w:t>劳动素养：树立正确的劳动观，尊重劳动、热爱劳动，具备与本专业职业发展相适应的劳动技能和劳动习惯，弘扬劳模精神、劳动精神，践行劳动光荣、技能宝贵、创造伟大的时代风尚。</w:t>
      </w:r>
    </w:p>
    <w:p w14:paraId="6EE27C66">
      <w:pPr>
        <w:pStyle w:val="2"/>
        <w:bidi w:val="0"/>
        <w:rPr>
          <w:rFonts w:hint="eastAsia"/>
          <w:lang w:val="zh-CN" w:eastAsia="zh-CN"/>
        </w:rPr>
      </w:pPr>
      <w:bookmarkStart w:id="14" w:name="_Toc5126"/>
      <w:r>
        <w:rPr>
          <w:rFonts w:hint="eastAsia"/>
          <w:lang w:val="zh-CN" w:eastAsia="zh-CN"/>
        </w:rPr>
        <w:t>六、课程设置及学时安排</w:t>
      </w:r>
      <w:bookmarkEnd w:id="14"/>
    </w:p>
    <w:p w14:paraId="635EBD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包括公共基础课程和专业课程。</w:t>
      </w:r>
    </w:p>
    <w:p w14:paraId="0673D301">
      <w:pPr>
        <w:pStyle w:val="3"/>
        <w:bidi w:val="0"/>
        <w:rPr>
          <w:rFonts w:hint="eastAsia"/>
          <w:lang w:val="zh-CN" w:eastAsia="zh-CN"/>
        </w:rPr>
      </w:pPr>
      <w:bookmarkStart w:id="15" w:name="_Toc4536"/>
      <w:r>
        <w:rPr>
          <w:rFonts w:hint="eastAsia"/>
          <w:lang w:val="zh-CN" w:eastAsia="zh-CN"/>
        </w:rPr>
        <w:t>（一）公共基础课程</w:t>
      </w:r>
      <w:bookmarkEnd w:id="15"/>
    </w:p>
    <w:p w14:paraId="1C61B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公共基础必修课程</w:t>
      </w:r>
    </w:p>
    <w:p w14:paraId="75166D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公共基础必修课程</w:t>
      </w:r>
      <w:r>
        <w:rPr>
          <w:rFonts w:hint="eastAsia" w:ascii="仿宋" w:hAnsi="仿宋" w:eastAsia="仿宋" w:cs="仿宋"/>
          <w:b w:val="0"/>
          <w:bCs w:val="0"/>
          <w:kern w:val="0"/>
          <w:sz w:val="24"/>
          <w:szCs w:val="24"/>
          <w:lang w:val="en-US" w:eastAsia="zh-CN"/>
        </w:rPr>
        <w:t>包括：思想政治、语文、历史、数学、物理、化学、英语、信息技术、体育与健康、艺术、劳动教育等。</w:t>
      </w:r>
    </w:p>
    <w:p w14:paraId="20DB31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-1公共基础</w:t>
      </w:r>
      <w:r>
        <w:rPr>
          <w:rFonts w:hint="eastAsia" w:ascii="仿宋" w:hAnsi="仿宋" w:eastAsia="仿宋" w:cs="仿宋"/>
          <w:b/>
          <w:bCs/>
          <w:kern w:val="0"/>
          <w:sz w:val="24"/>
          <w:szCs w:val="24"/>
          <w:lang w:val="en-US" w:eastAsia="zh-CN"/>
        </w:rPr>
        <w:t>必修</w:t>
      </w:r>
      <w:r>
        <w:rPr>
          <w:rFonts w:hint="eastAsia" w:ascii="仿宋" w:hAnsi="仿宋" w:eastAsia="仿宋" w:cs="仿宋"/>
          <w:b/>
          <w:bCs/>
          <w:kern w:val="0"/>
          <w:sz w:val="24"/>
          <w:szCs w:val="24"/>
          <w:lang w:val="zh-CN" w:eastAsia="zh-CN"/>
        </w:rPr>
        <w:t>课程主要教学内容与要求</w:t>
      </w:r>
    </w:p>
    <w:tbl>
      <w:tblPr>
        <w:tblStyle w:val="12"/>
        <w:tblW w:w="806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000"/>
        <w:gridCol w:w="5694"/>
        <w:gridCol w:w="853"/>
      </w:tblGrid>
      <w:tr w14:paraId="76DA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20" w:type="dxa"/>
            <w:shd w:val="clear" w:color="auto" w:fill="BDD6EE"/>
            <w:vAlign w:val="center"/>
          </w:tcPr>
          <w:p w14:paraId="18ED9AED">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00" w:type="dxa"/>
            <w:shd w:val="clear" w:color="auto" w:fill="BDD6EE"/>
            <w:vAlign w:val="center"/>
          </w:tcPr>
          <w:p w14:paraId="29249944">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694" w:type="dxa"/>
            <w:shd w:val="clear" w:color="auto" w:fill="BDD6EE"/>
            <w:vAlign w:val="center"/>
          </w:tcPr>
          <w:p w14:paraId="103BA5C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53" w:type="dxa"/>
            <w:shd w:val="clear" w:color="auto" w:fill="BDD6EE"/>
            <w:vAlign w:val="center"/>
          </w:tcPr>
          <w:p w14:paraId="6E59A97F">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学时安排</w:t>
            </w:r>
          </w:p>
        </w:tc>
      </w:tr>
      <w:tr w14:paraId="4612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644D8AC6">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1</w:t>
            </w:r>
          </w:p>
        </w:tc>
        <w:tc>
          <w:tcPr>
            <w:tcW w:w="1000" w:type="dxa"/>
            <w:shd w:val="clear" w:color="auto" w:fill="auto"/>
            <w:vAlign w:val="center"/>
          </w:tcPr>
          <w:p w14:paraId="3D79D3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《思想政治》</w:t>
            </w:r>
          </w:p>
        </w:tc>
        <w:tc>
          <w:tcPr>
            <w:tcW w:w="5694" w:type="dxa"/>
            <w:shd w:val="clear" w:color="auto" w:fill="auto"/>
            <w:vAlign w:val="top"/>
          </w:tcPr>
          <w:p w14:paraId="03ADDF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tc>
        <w:tc>
          <w:tcPr>
            <w:tcW w:w="853" w:type="dxa"/>
            <w:vAlign w:val="center"/>
          </w:tcPr>
          <w:p w14:paraId="0993C1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152</w:t>
            </w:r>
          </w:p>
        </w:tc>
      </w:tr>
      <w:tr w14:paraId="1D2E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2D8FB8C4">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2</w:t>
            </w:r>
          </w:p>
        </w:tc>
        <w:tc>
          <w:tcPr>
            <w:tcW w:w="1000" w:type="dxa"/>
            <w:shd w:val="clear" w:color="auto" w:fill="auto"/>
            <w:vAlign w:val="center"/>
          </w:tcPr>
          <w:p w14:paraId="48EF64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《语文》</w:t>
            </w:r>
          </w:p>
        </w:tc>
        <w:tc>
          <w:tcPr>
            <w:tcW w:w="5694" w:type="dxa"/>
            <w:shd w:val="clear" w:color="auto" w:fill="auto"/>
            <w:vAlign w:val="top"/>
          </w:tcPr>
          <w:p w14:paraId="64032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培养学生热爱祖国语言文字的思想感情，使学生进一步提高正确理解与运用祖国语言文字的能力，提高科学文化素养，以适应就业和创业的需要。通过学习必备语文知识，加强语言表达和文字表达能力，掌握应用文书的格式和写作要求，形成学习能力、培养审美情趣、学会人际交往、提高人文素质。</w:t>
            </w:r>
          </w:p>
        </w:tc>
        <w:tc>
          <w:tcPr>
            <w:tcW w:w="853" w:type="dxa"/>
            <w:vAlign w:val="center"/>
          </w:tcPr>
          <w:p w14:paraId="295733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361</w:t>
            </w:r>
          </w:p>
        </w:tc>
      </w:tr>
      <w:tr w14:paraId="7A4D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15DDD09">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3</w:t>
            </w:r>
          </w:p>
        </w:tc>
        <w:tc>
          <w:tcPr>
            <w:tcW w:w="1000" w:type="dxa"/>
            <w:shd w:val="clear" w:color="auto" w:fill="auto"/>
            <w:vAlign w:val="center"/>
          </w:tcPr>
          <w:p w14:paraId="11088B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《历史》</w:t>
            </w:r>
          </w:p>
        </w:tc>
        <w:tc>
          <w:tcPr>
            <w:tcW w:w="5694" w:type="dxa"/>
            <w:shd w:val="clear" w:color="auto" w:fill="auto"/>
            <w:vAlign w:val="top"/>
          </w:tcPr>
          <w:p w14:paraId="1FDB1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唯物史观为指导，促进学生进一步了解人类社会形态从低级到高级发展的基本脉络、基本规律和优秀文化成果；从历史的角度了解和思考人与人、人与社会、人与自然的关系，增强历史使命感和社会责任感；进一步弘扬以爱国主义为核心的民族精神和以改革创新为核心的时代精神，培育和践行社会主义核心价值观；树立正确的历史观、民族观、国家观和文化观；塑造健全的人格，养成职业精神，培养德智体美劳全面发展的社会主义建设者和接班人。掌握必备的历史知识，形成唯物史观、时空观念、史料实证、历史解释、家国情怀五个方面的历史学科核心素养。</w:t>
            </w:r>
          </w:p>
        </w:tc>
        <w:tc>
          <w:tcPr>
            <w:tcW w:w="853" w:type="dxa"/>
            <w:vAlign w:val="center"/>
          </w:tcPr>
          <w:p w14:paraId="483F27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r w14:paraId="21B6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4D51F1A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4</w:t>
            </w:r>
          </w:p>
        </w:tc>
        <w:tc>
          <w:tcPr>
            <w:tcW w:w="1000" w:type="dxa"/>
            <w:shd w:val="clear" w:color="auto" w:fill="auto"/>
            <w:vAlign w:val="center"/>
          </w:tcPr>
          <w:p w14:paraId="2CB721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《数学》</w:t>
            </w:r>
          </w:p>
        </w:tc>
        <w:tc>
          <w:tcPr>
            <w:tcW w:w="5694" w:type="dxa"/>
            <w:shd w:val="clear" w:color="auto" w:fill="auto"/>
            <w:vAlign w:val="top"/>
          </w:tcPr>
          <w:p w14:paraId="0896B1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使学生获得进一步学习和职业发展所必需的数学知识、数学技能、数学方法、数学思想和活动经验；具备中等职业学校数学学科核心素养，形成在继续学习和未来工作中运用数学知识和经验发现问题的意识、运用数学的思想方法和工具解决问题的能力；具备一定的科学精神和工匠精神，养成良好的道德品质，增强创新意识，成为德智体美劳全面发展的高素质劳动者和技术技能人才。提高学生学习数学的兴趣，增强学好数学的主动性和自信心，养成理性思维、敢于质疑、善于思考的科学精神和精益求精的工匠精神，加深对数学的科学价值、应用价值、文化价值和审美价值的认识。</w:t>
            </w:r>
          </w:p>
        </w:tc>
        <w:tc>
          <w:tcPr>
            <w:tcW w:w="853" w:type="dxa"/>
            <w:vAlign w:val="center"/>
          </w:tcPr>
          <w:p w14:paraId="3332F0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399</w:t>
            </w:r>
          </w:p>
        </w:tc>
      </w:tr>
      <w:tr w14:paraId="789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1026F1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5</w:t>
            </w:r>
          </w:p>
        </w:tc>
        <w:tc>
          <w:tcPr>
            <w:tcW w:w="1000" w:type="dxa"/>
            <w:shd w:val="clear" w:color="auto" w:fill="auto"/>
            <w:vAlign w:val="center"/>
          </w:tcPr>
          <w:p w14:paraId="27F3E0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物理</w:t>
            </w:r>
            <w:r>
              <w:rPr>
                <w:rFonts w:hint="eastAsia" w:ascii="仿宋" w:hAnsi="仿宋" w:eastAsia="仿宋" w:cs="仿宋"/>
                <w:b w:val="0"/>
                <w:bCs w:val="0"/>
                <w:kern w:val="0"/>
                <w:sz w:val="21"/>
                <w:szCs w:val="21"/>
                <w:lang w:val="zh-CN" w:eastAsia="zh-CN"/>
              </w:rPr>
              <w:t>》</w:t>
            </w:r>
          </w:p>
        </w:tc>
        <w:tc>
          <w:tcPr>
            <w:tcW w:w="5694" w:type="dxa"/>
            <w:shd w:val="clear" w:color="auto" w:fill="auto"/>
            <w:vAlign w:val="top"/>
          </w:tcPr>
          <w:p w14:paraId="21F7F3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力学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物体受力分析、机械运动规律，关联汽车底盘受力与传动原理；电学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聚焦电路欧姆定律、电磁感应，结合新能源汽车电池、电机工作机制；热学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讲解热传递、热力学定律，对接电池散热、电机温控技术。知识</w:t>
            </w:r>
            <w:r>
              <w:rPr>
                <w:rFonts w:hint="eastAsia" w:ascii="仿宋" w:hAnsi="仿宋" w:eastAsia="仿宋" w:cs="仿宋"/>
                <w:b w:val="0"/>
                <w:bCs w:val="0"/>
                <w:kern w:val="0"/>
                <w:sz w:val="21"/>
                <w:szCs w:val="21"/>
                <w:vertAlign w:val="baseline"/>
                <w:lang w:val="en-US" w:eastAsia="zh-CN"/>
              </w:rPr>
              <w:t>层面需要</w:t>
            </w:r>
            <w:r>
              <w:rPr>
                <w:rFonts w:hint="eastAsia" w:ascii="仿宋" w:hAnsi="仿宋" w:eastAsia="仿宋" w:cs="仿宋"/>
                <w:b w:val="0"/>
                <w:bCs w:val="0"/>
                <w:kern w:val="0"/>
                <w:sz w:val="21"/>
                <w:szCs w:val="21"/>
                <w:vertAlign w:val="baseline"/>
                <w:lang w:val="zh-CN" w:eastAsia="zh-CN"/>
              </w:rPr>
              <w:t>掌握核心物理定律，理解其在新能源汽车中的应用逻辑；技能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能运用物理知识初步分析汽车电路、机械故障，完成简单检测；素养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培养严谨的逻辑思维，提升解决汽车维修实际问题的能力。</w:t>
            </w:r>
          </w:p>
        </w:tc>
        <w:tc>
          <w:tcPr>
            <w:tcW w:w="853" w:type="dxa"/>
            <w:vAlign w:val="center"/>
          </w:tcPr>
          <w:p w14:paraId="0403F4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5291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7AF770CD">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rPr>
              <w:t>6</w:t>
            </w:r>
          </w:p>
        </w:tc>
        <w:tc>
          <w:tcPr>
            <w:tcW w:w="1000" w:type="dxa"/>
            <w:shd w:val="clear" w:color="auto" w:fill="auto"/>
            <w:vAlign w:val="center"/>
          </w:tcPr>
          <w:p w14:paraId="6DB634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化学</w:t>
            </w:r>
            <w:r>
              <w:rPr>
                <w:rFonts w:hint="eastAsia" w:ascii="仿宋" w:hAnsi="仿宋" w:eastAsia="仿宋" w:cs="仿宋"/>
                <w:b w:val="0"/>
                <w:bCs w:val="0"/>
                <w:kern w:val="0"/>
                <w:sz w:val="21"/>
                <w:szCs w:val="21"/>
                <w:lang w:val="zh-CN" w:eastAsia="zh-CN"/>
              </w:rPr>
              <w:t>》</w:t>
            </w:r>
          </w:p>
        </w:tc>
        <w:tc>
          <w:tcPr>
            <w:tcW w:w="5694" w:type="dxa"/>
            <w:shd w:val="clear" w:color="auto" w:fill="auto"/>
            <w:vAlign w:val="top"/>
          </w:tcPr>
          <w:p w14:paraId="36FF6C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电化学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原电池、电解池原理，关联新能源汽车动力电池充放电机制；材料化学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金属防腐、高分子材料特性，对接车身防锈与电池外壳材料；溶液化学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电解质溶液性质，结合电池电解液维护与故障排查。知识</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掌握核心化学原理，理解其在汽车部件中的应用；技能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能初步分析电池性能、判断材料老化问题，辅助维修操作；素养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建立化学与汽车维修的关联思维，增强安全操作意识。</w:t>
            </w:r>
          </w:p>
        </w:tc>
        <w:tc>
          <w:tcPr>
            <w:tcW w:w="853" w:type="dxa"/>
            <w:vAlign w:val="center"/>
          </w:tcPr>
          <w:p w14:paraId="0B51DC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19</w:t>
            </w:r>
          </w:p>
        </w:tc>
      </w:tr>
      <w:tr w14:paraId="76B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55A29035">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lang w:val="en-US" w:eastAsia="zh-CN"/>
              </w:rPr>
              <w:t>7</w:t>
            </w:r>
          </w:p>
        </w:tc>
        <w:tc>
          <w:tcPr>
            <w:tcW w:w="1000" w:type="dxa"/>
            <w:shd w:val="clear" w:color="auto" w:fill="auto"/>
            <w:vAlign w:val="center"/>
          </w:tcPr>
          <w:p w14:paraId="7C2D0C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《英语》</w:t>
            </w:r>
          </w:p>
        </w:tc>
        <w:tc>
          <w:tcPr>
            <w:tcW w:w="5694" w:type="dxa"/>
            <w:shd w:val="clear" w:color="auto" w:fill="auto"/>
            <w:vAlign w:val="top"/>
          </w:tcPr>
          <w:p w14:paraId="3ABB3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在义务教育基础上，帮助学生进一步学习语言基础知识，提高听、说、读、写等语言技能，发展英语学科核心素养；引导学生在真实情境中开展语言实践活动，认识文化的多样性，形成开放包容的态度，发展健康的审美情趣；理解思维差异，增强国际理解，坚定文化自信；帮助学生树立正确的世界观、人生观和价值观，自觉践行社会主义核心价值观，成为德智体美劳全面发展的高素质劳动者和技术技能人才。激发学生英语学习的兴趣，帮助学生掌握基础知识和基本技能，为职业生涯、继续学习和终身发展奠定基础。</w:t>
            </w:r>
          </w:p>
        </w:tc>
        <w:tc>
          <w:tcPr>
            <w:tcW w:w="853" w:type="dxa"/>
            <w:vAlign w:val="center"/>
          </w:tcPr>
          <w:p w14:paraId="3BBBCF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361</w:t>
            </w:r>
          </w:p>
        </w:tc>
      </w:tr>
      <w:tr w14:paraId="5918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6B6F2876">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8</w:t>
            </w:r>
          </w:p>
        </w:tc>
        <w:tc>
          <w:tcPr>
            <w:tcW w:w="1000" w:type="dxa"/>
            <w:shd w:val="clear" w:color="auto" w:fill="auto"/>
            <w:vAlign w:val="center"/>
          </w:tcPr>
          <w:p w14:paraId="5FE698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《信息技术》</w:t>
            </w:r>
          </w:p>
        </w:tc>
        <w:tc>
          <w:tcPr>
            <w:tcW w:w="5694" w:type="dxa"/>
            <w:shd w:val="clear" w:color="auto" w:fill="auto"/>
            <w:vAlign w:val="top"/>
          </w:tcPr>
          <w:p w14:paraId="58CC5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使学生掌握必备的计算机运用基础知识和基本技能，培养学生运用计算机解决工作与生活中实际问题的能力；使学生初步具有运用计算机学习的能力，为其职业生涯发展和终身学习奠定基础；提升学生的信息素养，使学生了解并遵守相关法律法规、信息道德及信息安全准则，培养学生成为信息社会的合格公民。</w:t>
            </w:r>
          </w:p>
        </w:tc>
        <w:tc>
          <w:tcPr>
            <w:tcW w:w="853" w:type="dxa"/>
            <w:vAlign w:val="center"/>
          </w:tcPr>
          <w:p w14:paraId="484E2D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r w14:paraId="1A66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1C7B8984">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9</w:t>
            </w:r>
          </w:p>
        </w:tc>
        <w:tc>
          <w:tcPr>
            <w:tcW w:w="1000" w:type="dxa"/>
            <w:shd w:val="clear" w:color="auto" w:fill="auto"/>
            <w:vAlign w:val="center"/>
          </w:tcPr>
          <w:p w14:paraId="7D69EC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《体育与健康》</w:t>
            </w:r>
          </w:p>
        </w:tc>
        <w:tc>
          <w:tcPr>
            <w:tcW w:w="5694" w:type="dxa"/>
            <w:shd w:val="clear" w:color="auto" w:fill="auto"/>
            <w:vAlign w:val="top"/>
          </w:tcPr>
          <w:p w14:paraId="548797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身体练习为主要手段，以体育与健康的知识、技能和方法的传授为主要内容，以培养学生的体育与健康学科核心素养和促进学生身心健康为主要目的综合性课程。树立“健康第一”的指导思想，传授体育与健康的基础文化知识、体育技能和方法，通过科学指导和安排体育锻炼过程，培养学生的健康人格、增强体能素质、提高综合职业能力，养成终身从事体育锻炼的意识、能力和习惯，提高生活质量，为全面促进学生身体健康、心理健康和社会适应能力服务。通过运动参与、增强体能、运动技能、身体健康、心理健康、社会适应和职业素质等方面，构建包括认识、技能和情感三要素在内，能够体现素质教育和职业特点的目标体系。</w:t>
            </w:r>
          </w:p>
        </w:tc>
        <w:tc>
          <w:tcPr>
            <w:tcW w:w="853" w:type="dxa"/>
            <w:vAlign w:val="center"/>
          </w:tcPr>
          <w:p w14:paraId="2681B2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190</w:t>
            </w:r>
          </w:p>
        </w:tc>
      </w:tr>
      <w:tr w14:paraId="2A7F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25817BF4">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10</w:t>
            </w:r>
          </w:p>
        </w:tc>
        <w:tc>
          <w:tcPr>
            <w:tcW w:w="1000" w:type="dxa"/>
            <w:shd w:val="clear" w:color="auto" w:fill="auto"/>
            <w:vAlign w:val="center"/>
          </w:tcPr>
          <w:p w14:paraId="56EFA0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《艺术》</w:t>
            </w:r>
          </w:p>
        </w:tc>
        <w:tc>
          <w:tcPr>
            <w:tcW w:w="5694" w:type="dxa"/>
            <w:shd w:val="clear" w:color="auto" w:fill="auto"/>
            <w:vAlign w:val="top"/>
          </w:tcPr>
          <w:p w14:paraId="3E56B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包含音乐、美术、舞蹈、设计、工艺、戏剧、影视等艺术门类的综合性课程，与义务教育阶段艺术相关课程相衔接，具有思想性、民族性、时代性、人文性、审美性和实践性，是中等职业学校实施美育的基本途径。培养学生的审美能力和艺术素养，使学生具备一定的艺术欣赏和艺术表现能力，形成1-2项艺术特长或爱好。</w:t>
            </w:r>
          </w:p>
        </w:tc>
        <w:tc>
          <w:tcPr>
            <w:tcW w:w="853" w:type="dxa"/>
            <w:vAlign w:val="center"/>
          </w:tcPr>
          <w:p w14:paraId="075A73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BEE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83B5549">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11</w:t>
            </w:r>
          </w:p>
        </w:tc>
        <w:tc>
          <w:tcPr>
            <w:tcW w:w="1000" w:type="dxa"/>
            <w:shd w:val="clear" w:color="auto" w:fill="auto"/>
            <w:vAlign w:val="center"/>
          </w:tcPr>
          <w:p w14:paraId="00B4C7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《劳动教育》</w:t>
            </w:r>
          </w:p>
        </w:tc>
        <w:tc>
          <w:tcPr>
            <w:tcW w:w="5694" w:type="dxa"/>
            <w:shd w:val="clear" w:color="auto" w:fill="auto"/>
            <w:vAlign w:val="top"/>
          </w:tcPr>
          <w:p w14:paraId="2D284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开展劳动精神、劳模精神、工匠精神专题教育，组织学生参加生产劳动、日常生活劳动和服务性劳动，让学生动手实践、出力流汗，接受锻炼、磨炼意志，培养学生正确的劳动价值观和良好的劳动品质。</w:t>
            </w:r>
          </w:p>
        </w:tc>
        <w:tc>
          <w:tcPr>
            <w:tcW w:w="853" w:type="dxa"/>
            <w:vAlign w:val="center"/>
          </w:tcPr>
          <w:p w14:paraId="15217D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bl>
    <w:p w14:paraId="7AE4C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2.公共基础</w:t>
      </w:r>
      <w:r>
        <w:rPr>
          <w:rFonts w:hint="eastAsia" w:ascii="仿宋" w:hAnsi="仿宋" w:eastAsia="仿宋" w:cs="仿宋"/>
          <w:b w:val="0"/>
          <w:bCs w:val="0"/>
          <w:kern w:val="0"/>
          <w:sz w:val="24"/>
          <w:szCs w:val="24"/>
          <w:lang w:val="zh-CN" w:eastAsia="zh-CN"/>
        </w:rPr>
        <w:t>选修课程</w:t>
      </w:r>
    </w:p>
    <w:p w14:paraId="3E37F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公共基础</w:t>
      </w:r>
      <w:r>
        <w:rPr>
          <w:rFonts w:hint="eastAsia" w:ascii="仿宋" w:hAnsi="仿宋" w:eastAsia="仿宋" w:cs="仿宋"/>
          <w:b w:val="0"/>
          <w:bCs w:val="0"/>
          <w:kern w:val="0"/>
          <w:sz w:val="24"/>
          <w:szCs w:val="24"/>
          <w:lang w:val="zh-CN" w:eastAsia="zh-CN"/>
        </w:rPr>
        <w:t>选修课程</w:t>
      </w:r>
      <w:r>
        <w:rPr>
          <w:rFonts w:hint="eastAsia" w:ascii="仿宋" w:hAnsi="仿宋" w:eastAsia="仿宋" w:cs="仿宋"/>
          <w:b w:val="0"/>
          <w:bCs w:val="0"/>
          <w:kern w:val="0"/>
          <w:sz w:val="24"/>
          <w:szCs w:val="24"/>
          <w:lang w:val="en-US" w:eastAsia="zh-CN"/>
        </w:rPr>
        <w:t>包括</w:t>
      </w:r>
      <w:r>
        <w:rPr>
          <w:rFonts w:hint="eastAsia" w:ascii="仿宋" w:hAnsi="仿宋" w:eastAsia="仿宋" w:cs="仿宋"/>
          <w:b w:val="0"/>
          <w:bCs w:val="0"/>
          <w:kern w:val="0"/>
          <w:sz w:val="24"/>
          <w:szCs w:val="24"/>
          <w:lang w:val="zh-CN" w:eastAsia="zh-CN"/>
        </w:rPr>
        <w:t>：党史国史、中华优秀传统文化、国家安全教育、职业发展与就业指导、创新创业教育、职业素养等。</w:t>
      </w:r>
    </w:p>
    <w:p w14:paraId="46932A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2</w:t>
      </w:r>
      <w:r>
        <w:rPr>
          <w:rFonts w:hint="eastAsia" w:ascii="仿宋" w:hAnsi="仿宋" w:eastAsia="仿宋" w:cs="仿宋"/>
          <w:b/>
          <w:bCs/>
          <w:kern w:val="0"/>
          <w:sz w:val="24"/>
          <w:szCs w:val="24"/>
          <w:lang w:val="zh-CN" w:eastAsia="zh-CN"/>
        </w:rPr>
        <w:t>公共基础</w:t>
      </w:r>
      <w:r>
        <w:rPr>
          <w:rFonts w:hint="eastAsia" w:ascii="仿宋" w:hAnsi="仿宋" w:eastAsia="仿宋" w:cs="仿宋"/>
          <w:b/>
          <w:bCs/>
          <w:kern w:val="0"/>
          <w:sz w:val="24"/>
          <w:szCs w:val="24"/>
          <w:lang w:val="en-US" w:eastAsia="zh-CN"/>
        </w:rPr>
        <w:t>选修</w:t>
      </w:r>
      <w:r>
        <w:rPr>
          <w:rFonts w:hint="eastAsia" w:ascii="仿宋" w:hAnsi="仿宋" w:eastAsia="仿宋" w:cs="仿宋"/>
          <w:b/>
          <w:bCs/>
          <w:kern w:val="0"/>
          <w:sz w:val="24"/>
          <w:szCs w:val="24"/>
          <w:lang w:val="zh-CN" w:eastAsia="zh-CN"/>
        </w:rPr>
        <w:t>课程主要教学内容与要求</w:t>
      </w:r>
    </w:p>
    <w:tbl>
      <w:tblPr>
        <w:tblStyle w:val="12"/>
        <w:tblW w:w="806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969"/>
        <w:gridCol w:w="5720"/>
        <w:gridCol w:w="840"/>
      </w:tblGrid>
      <w:tr w14:paraId="5F02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710DA20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序号</w:t>
            </w:r>
          </w:p>
        </w:tc>
        <w:tc>
          <w:tcPr>
            <w:tcW w:w="969" w:type="dxa"/>
            <w:shd w:val="clear" w:color="auto" w:fill="BDD6EE"/>
            <w:vAlign w:val="center"/>
          </w:tcPr>
          <w:p w14:paraId="570A2154">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720" w:type="dxa"/>
            <w:shd w:val="clear" w:color="auto" w:fill="BDD6EE"/>
            <w:vAlign w:val="center"/>
          </w:tcPr>
          <w:p w14:paraId="71722A9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40" w:type="dxa"/>
            <w:shd w:val="clear" w:color="auto" w:fill="BDD6EE"/>
            <w:vAlign w:val="center"/>
          </w:tcPr>
          <w:p w14:paraId="77D89020">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rPr>
              <w:t>学时安排</w:t>
            </w:r>
          </w:p>
        </w:tc>
      </w:tr>
      <w:tr w14:paraId="2AA6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356489E5">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br w:type="textWrapping"/>
            </w:r>
            <w:r>
              <w:rPr>
                <w:rFonts w:hint="eastAsia" w:ascii="仿宋" w:hAnsi="仿宋" w:eastAsia="仿宋" w:cs="仿宋"/>
                <w:b/>
                <w:bCs/>
                <w:sz w:val="21"/>
                <w:szCs w:val="21"/>
                <w:lang w:val="en-US" w:eastAsia="zh-CN"/>
              </w:rPr>
              <w:t>1</w:t>
            </w:r>
          </w:p>
        </w:tc>
        <w:tc>
          <w:tcPr>
            <w:tcW w:w="969" w:type="dxa"/>
            <w:shd w:val="clear" w:color="auto" w:fill="auto"/>
            <w:vAlign w:val="center"/>
          </w:tcPr>
          <w:p w14:paraId="6F5774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《党史国史》</w:t>
            </w:r>
          </w:p>
        </w:tc>
        <w:tc>
          <w:tcPr>
            <w:tcW w:w="5720" w:type="dxa"/>
            <w:shd w:val="clear" w:color="auto" w:fill="auto"/>
            <w:vAlign w:val="top"/>
          </w:tcPr>
          <w:p w14:paraId="6AE291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引导</w:t>
            </w:r>
            <w:r>
              <w:rPr>
                <w:rFonts w:hint="eastAsia" w:ascii="仿宋" w:hAnsi="仿宋" w:eastAsia="仿宋" w:cs="仿宋"/>
                <w:b w:val="0"/>
                <w:bCs w:val="0"/>
                <w:kern w:val="0"/>
                <w:sz w:val="21"/>
                <w:szCs w:val="21"/>
                <w:vertAlign w:val="baseline"/>
                <w:lang w:val="zh-CN" w:eastAsia="zh-CN"/>
              </w:rPr>
              <w:t>学生了解党史、国史上的重大事件、重要会议、重要人物，以及中国近现代历史发展的基本线索和内在逻辑，知晓党和国家为实现民族复兴、国家富强、人民幸福而不懈奋斗的历程。帮助学生树立正确的党史观、历史观，坚定“四个自信”，懂得“四个选择”，明白“三个为什么”，厚植爱党爱国情怀，增强做中国人的志气、骨气、底气，自觉肩负起实现中华民族伟大复兴的重任。</w:t>
            </w:r>
          </w:p>
        </w:tc>
        <w:tc>
          <w:tcPr>
            <w:tcW w:w="840" w:type="dxa"/>
            <w:vAlign w:val="center"/>
          </w:tcPr>
          <w:p w14:paraId="0085E8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766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483B46C7">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2</w:t>
            </w:r>
          </w:p>
        </w:tc>
        <w:tc>
          <w:tcPr>
            <w:tcW w:w="969" w:type="dxa"/>
            <w:shd w:val="clear" w:color="auto" w:fill="auto"/>
            <w:vAlign w:val="center"/>
          </w:tcPr>
          <w:p w14:paraId="416577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《中华优秀传统文化》</w:t>
            </w:r>
          </w:p>
        </w:tc>
        <w:tc>
          <w:tcPr>
            <w:tcW w:w="5720" w:type="dxa"/>
            <w:shd w:val="clear" w:color="auto" w:fill="auto"/>
            <w:vAlign w:val="top"/>
          </w:tcPr>
          <w:p w14:paraId="48D93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掌握中华优秀传统文化的核心概念、经典文献及重要史实，理解其历史发展脉络与内在逻辑。培养文化自信与民族认同感，理解“中华优秀传统文化是中华民族的精神命脉”，抵制历史虚无主义对传统文化的歪曲。践行传统美德，将“孝、悌、忠、信”等伦理规范转化为个人行为准则，结合社会主义核心价值观（如“和谐”“诚信”）实现古今价值衔接。</w:t>
            </w:r>
          </w:p>
        </w:tc>
        <w:tc>
          <w:tcPr>
            <w:tcW w:w="840" w:type="dxa"/>
            <w:vAlign w:val="center"/>
          </w:tcPr>
          <w:p w14:paraId="093DB5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13DA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0416E185">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w:t>
            </w:r>
          </w:p>
        </w:tc>
        <w:tc>
          <w:tcPr>
            <w:tcW w:w="969" w:type="dxa"/>
            <w:shd w:val="clear" w:color="auto" w:fill="auto"/>
            <w:vAlign w:val="center"/>
          </w:tcPr>
          <w:p w14:paraId="6402A7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《国家安全教育》</w:t>
            </w:r>
          </w:p>
        </w:tc>
        <w:tc>
          <w:tcPr>
            <w:tcW w:w="5720" w:type="dxa"/>
            <w:shd w:val="clear" w:color="auto" w:fill="auto"/>
            <w:vAlign w:val="top"/>
          </w:tcPr>
          <w:p w14:paraId="76A2E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阐释习近平总书记提出的总体国家安全观内涵（以人民安全为宗旨，以政治安全为根本，以经济安全为基础等），解析“统筹发展和安全”的辩证关系。</w:t>
            </w:r>
            <w:r>
              <w:rPr>
                <w:rFonts w:hint="eastAsia" w:ascii="仿宋" w:hAnsi="仿宋" w:eastAsia="仿宋" w:cs="仿宋"/>
                <w:b w:val="0"/>
                <w:bCs w:val="0"/>
                <w:kern w:val="0"/>
                <w:sz w:val="21"/>
                <w:szCs w:val="21"/>
                <w:vertAlign w:val="baseline"/>
                <w:lang w:val="en-US" w:eastAsia="zh-CN"/>
              </w:rPr>
              <w:t>引导学生</w:t>
            </w:r>
            <w:r>
              <w:rPr>
                <w:rFonts w:hint="eastAsia" w:ascii="仿宋" w:hAnsi="仿宋" w:eastAsia="仿宋" w:cs="仿宋"/>
                <w:b w:val="0"/>
                <w:bCs w:val="0"/>
                <w:kern w:val="0"/>
                <w:sz w:val="21"/>
                <w:szCs w:val="21"/>
                <w:vertAlign w:val="baseline"/>
                <w:lang w:val="zh-CN" w:eastAsia="zh-CN"/>
              </w:rPr>
              <w:t>理解总体国家安全观的核心要义，掌握政治、军事、经济等重点领域的安全基础知识与法律法规。树立“国家安全高于一切”的意识，强化国家认同感与民族自豪感，自觉抵制损害国家安全的言行。</w:t>
            </w:r>
          </w:p>
        </w:tc>
        <w:tc>
          <w:tcPr>
            <w:tcW w:w="840" w:type="dxa"/>
            <w:vAlign w:val="center"/>
          </w:tcPr>
          <w:p w14:paraId="1670C4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9C0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0717EC79">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4</w:t>
            </w:r>
          </w:p>
        </w:tc>
        <w:tc>
          <w:tcPr>
            <w:tcW w:w="969" w:type="dxa"/>
            <w:shd w:val="clear" w:color="auto" w:fill="auto"/>
            <w:vAlign w:val="center"/>
          </w:tcPr>
          <w:p w14:paraId="67BE66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《职业发展与就业指导》</w:t>
            </w:r>
          </w:p>
        </w:tc>
        <w:tc>
          <w:tcPr>
            <w:tcW w:w="5720" w:type="dxa"/>
            <w:shd w:val="clear" w:color="auto" w:fill="auto"/>
            <w:vAlign w:val="top"/>
          </w:tcPr>
          <w:p w14:paraId="42C90A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掌握职业发展理论的核心概念（如职业锚、生涯规划模型），理解就业市场的运行机制（如供需关系、薪资谈判逻辑）。树立正确的职业价值观：认同“行行出状元”的理念，抵制“唯薪资论”“躺平”等极端心态，培养吃苦耐劳、责任担当的职业精神。增强就业竞争力与抗挫折能力：面对求职失败能理性分析原因，通过持续学习提升自我，形成积极进取的职业态度。强化社会责任感：引导学生关注国家战略需求（如乡村振兴、科技创新），将个人职业发展与社会需求结合（如选择投身基层教育、环保行业）。</w:t>
            </w:r>
          </w:p>
        </w:tc>
        <w:tc>
          <w:tcPr>
            <w:tcW w:w="840" w:type="dxa"/>
            <w:vAlign w:val="center"/>
          </w:tcPr>
          <w:p w14:paraId="5B5EAE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26EF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4E57B1FA">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5</w:t>
            </w:r>
          </w:p>
        </w:tc>
        <w:tc>
          <w:tcPr>
            <w:tcW w:w="969" w:type="dxa"/>
            <w:shd w:val="clear" w:color="auto" w:fill="auto"/>
            <w:vAlign w:val="center"/>
          </w:tcPr>
          <w:p w14:paraId="5F0A51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lang w:val="zh-CN" w:eastAsia="zh-CN"/>
              </w:rPr>
              <w:t>创新创业教育</w:t>
            </w:r>
            <w:r>
              <w:rPr>
                <w:rFonts w:hint="eastAsia" w:ascii="仿宋" w:hAnsi="仿宋" w:eastAsia="仿宋" w:cs="仿宋"/>
                <w:b w:val="0"/>
                <w:bCs w:val="0"/>
                <w:kern w:val="0"/>
                <w:sz w:val="21"/>
                <w:szCs w:val="21"/>
                <w:lang w:val="en-US" w:eastAsia="zh-CN"/>
              </w:rPr>
              <w:t>》</w:t>
            </w:r>
          </w:p>
        </w:tc>
        <w:tc>
          <w:tcPr>
            <w:tcW w:w="5720" w:type="dxa"/>
            <w:shd w:val="clear" w:color="auto" w:fill="auto"/>
            <w:vAlign w:val="top"/>
          </w:tcPr>
          <w:p w14:paraId="21B80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培养学生的创新思维、创业意识、创业能力（如机会识别、资源整合、团队管理、风险应对等），推动创新成果转化与创业实践。增强学生的社会责任意识、批判性思维、抗压能力和协作精神，使其具备适应创新型社会发展的综合素质。引导学生关注国家产业政策（如乡村振兴、科技创新、绿色经济等），将个人创业目标与国家发展需求结合。</w:t>
            </w:r>
          </w:p>
        </w:tc>
        <w:tc>
          <w:tcPr>
            <w:tcW w:w="840" w:type="dxa"/>
            <w:vAlign w:val="center"/>
          </w:tcPr>
          <w:p w14:paraId="48A369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17C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13E6EDB8">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6</w:t>
            </w:r>
          </w:p>
        </w:tc>
        <w:tc>
          <w:tcPr>
            <w:tcW w:w="969" w:type="dxa"/>
            <w:shd w:val="clear" w:color="auto" w:fill="auto"/>
            <w:vAlign w:val="center"/>
          </w:tcPr>
          <w:p w14:paraId="4FE648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《职业素养》</w:t>
            </w:r>
          </w:p>
        </w:tc>
        <w:tc>
          <w:tcPr>
            <w:tcW w:w="5720" w:type="dxa"/>
            <w:shd w:val="clear" w:color="auto" w:fill="auto"/>
            <w:vAlign w:val="top"/>
          </w:tcPr>
          <w:p w14:paraId="17A5B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行业规范：讲解新能源汽车维修安全规程、环保操作标准。职业能力：涵盖沟通协作、故障分析中的逻辑思维与责任心培养。职业发展：介绍行业趋势、职业资格认证及职业生涯规划。知识</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：熟知行业安全与环保要求，了解职业发展路径。技能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：能规范操作、有效沟通，独立处理简单维修场景问题。素养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：树立安全第一、精益求精的职业态度，具备职业规划意识。</w:t>
            </w:r>
          </w:p>
        </w:tc>
        <w:tc>
          <w:tcPr>
            <w:tcW w:w="840" w:type="dxa"/>
            <w:vAlign w:val="center"/>
          </w:tcPr>
          <w:p w14:paraId="1F34C8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bl>
    <w:p w14:paraId="7FE4262D">
      <w:pPr>
        <w:pStyle w:val="3"/>
        <w:bidi w:val="0"/>
        <w:rPr>
          <w:rFonts w:hint="eastAsia"/>
          <w:lang w:val="zh-CN" w:eastAsia="zh-CN"/>
        </w:rPr>
      </w:pPr>
      <w:bookmarkStart w:id="16" w:name="_Toc2243"/>
      <w:r>
        <w:rPr>
          <w:rFonts w:hint="eastAsia"/>
          <w:lang w:val="zh-CN" w:eastAsia="zh-CN"/>
        </w:rPr>
        <w:t>（</w:t>
      </w:r>
      <w:r>
        <w:rPr>
          <w:rFonts w:hint="eastAsia"/>
          <w:lang w:val="en-US" w:eastAsia="zh-CN"/>
        </w:rPr>
        <w:t>二</w:t>
      </w:r>
      <w:r>
        <w:rPr>
          <w:rFonts w:hint="eastAsia"/>
          <w:lang w:val="zh-CN" w:eastAsia="zh-CN"/>
        </w:rPr>
        <w:t>）专业课程</w:t>
      </w:r>
      <w:bookmarkEnd w:id="16"/>
    </w:p>
    <w:p w14:paraId="7F104D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课程包括：专业基础课程、专业核心课程和专业拓展课程。专业基础课程是需要前置学习的基础性理论知识和技能构成的课程，是为专业核心课程提供理论和技能支撑的基础课程；专业核心课程是根据岗位工作内容、典型工作任务设置的课程，是培养核心职业能力的主干课程；专业拓展课程是根据学生发展需求横向拓展和纵向深化的课程，是提升综合职业能力的延展课程。</w:t>
      </w:r>
    </w:p>
    <w:p w14:paraId="4472BC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1.专业基础课程</w:t>
      </w:r>
    </w:p>
    <w:p w14:paraId="42573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专业基础课程包括：新能源汽车概论、汽车机械基础、汽车机械识图、新能源汽车电力电子基础等领域的课程。</w:t>
      </w:r>
    </w:p>
    <w:p w14:paraId="578E4C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2</w:t>
      </w:r>
      <w:r>
        <w:rPr>
          <w:rFonts w:hint="eastAsia" w:ascii="仿宋" w:hAnsi="仿宋" w:eastAsia="仿宋" w:cs="仿宋"/>
          <w:b/>
          <w:bCs/>
          <w:kern w:val="0"/>
          <w:sz w:val="24"/>
          <w:szCs w:val="24"/>
          <w:lang w:val="zh-CN" w:eastAsia="zh-CN"/>
        </w:rPr>
        <w:t>专业基础课程主要教学内容与要求</w:t>
      </w:r>
    </w:p>
    <w:tbl>
      <w:tblPr>
        <w:tblStyle w:val="12"/>
        <w:tblW w:w="8094"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000"/>
        <w:gridCol w:w="5720"/>
        <w:gridCol w:w="867"/>
      </w:tblGrid>
      <w:tr w14:paraId="45B9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07" w:type="dxa"/>
            <w:shd w:val="clear" w:color="auto" w:fill="BDD6EE"/>
            <w:vAlign w:val="center"/>
          </w:tcPr>
          <w:p w14:paraId="664260F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00" w:type="dxa"/>
            <w:shd w:val="clear" w:color="auto" w:fill="BDD6EE"/>
            <w:vAlign w:val="center"/>
          </w:tcPr>
          <w:p w14:paraId="1C0E0F8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720" w:type="dxa"/>
            <w:shd w:val="clear" w:color="auto" w:fill="BDD6EE"/>
            <w:vAlign w:val="center"/>
          </w:tcPr>
          <w:p w14:paraId="4BFABB47">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67" w:type="dxa"/>
            <w:shd w:val="clear" w:color="auto" w:fill="BDD6EE"/>
            <w:vAlign w:val="center"/>
          </w:tcPr>
          <w:p w14:paraId="36C366E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学时安排</w:t>
            </w:r>
          </w:p>
        </w:tc>
      </w:tr>
      <w:tr w14:paraId="5029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23508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1</w:t>
            </w:r>
          </w:p>
        </w:tc>
        <w:tc>
          <w:tcPr>
            <w:tcW w:w="1000" w:type="dxa"/>
            <w:shd w:val="clear" w:color="auto" w:fill="auto"/>
            <w:vAlign w:val="center"/>
          </w:tcPr>
          <w:p w14:paraId="162C2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《新能源汽车概论》</w:t>
            </w:r>
          </w:p>
        </w:tc>
        <w:tc>
          <w:tcPr>
            <w:tcW w:w="5720" w:type="dxa"/>
            <w:shd w:val="clear" w:color="auto" w:fill="auto"/>
            <w:vAlign w:val="top"/>
          </w:tcPr>
          <w:p w14:paraId="58C080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了解新能源汽车发展的背景、现状及趋势，以及其与传统汽车的区别、定义和分类。掌握混合动力汽车、纯电动汽车的特点和组成，了解燃料电池电动汽车的类型和特点。掌握动力电池的组成、各种不同材料电池的性能，以及驱动电机系统组成和工作原理、高压安全防护技术等。培养学生信息分析能力、专业能力和创新发展能力。使学生熟悉新能源汽车相关标准，能熟练列举新能源汽车的类型、三大核心技术。能够熟知新能源汽车主能源系统、辅助控制子系统的结构，动力电池的原理和动力电池包的结构，电动机的结构和原理，电力驱动及传动系统结构，以及充电系统组成及原理。</w:t>
            </w:r>
          </w:p>
        </w:tc>
        <w:tc>
          <w:tcPr>
            <w:tcW w:w="867" w:type="dxa"/>
            <w:vAlign w:val="center"/>
          </w:tcPr>
          <w:p w14:paraId="15CC7C59">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4852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7E1531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2</w:t>
            </w:r>
          </w:p>
        </w:tc>
        <w:tc>
          <w:tcPr>
            <w:tcW w:w="1000" w:type="dxa"/>
            <w:shd w:val="clear" w:color="auto" w:fill="auto"/>
            <w:vAlign w:val="center"/>
          </w:tcPr>
          <w:p w14:paraId="634E0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《汽车机械基础》</w:t>
            </w:r>
          </w:p>
        </w:tc>
        <w:tc>
          <w:tcPr>
            <w:tcW w:w="5720" w:type="dxa"/>
            <w:shd w:val="clear" w:color="auto" w:fill="auto"/>
            <w:vAlign w:val="top"/>
          </w:tcPr>
          <w:p w14:paraId="08CAFB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具备运用力学原理分析和解决汽车机械简单问题的能力，如计算汽车零部件受力、判断结构稳定性。能够根据汽车不同工况和性能要求，合理选择机械材料与热处理工艺，初步具备材料选用和工艺制定的能力。掌握机械传动系统、常用机构和轴系零部件的选型与设计方法，能对汽车机械系统进行简单的分析、维护和故障排查。能够识读和绘制简单的机械零件图与装配图，具备一定的机械制图和读图能力。掌握液压与气压传动系统的基本操作和调试技能，能够处理汽车液压、气压系统常见的简单故障。</w:t>
            </w:r>
          </w:p>
        </w:tc>
        <w:tc>
          <w:tcPr>
            <w:tcW w:w="867" w:type="dxa"/>
            <w:vAlign w:val="center"/>
          </w:tcPr>
          <w:p w14:paraId="6B0AAF53">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034D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71CF4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3</w:t>
            </w:r>
          </w:p>
        </w:tc>
        <w:tc>
          <w:tcPr>
            <w:tcW w:w="1000" w:type="dxa"/>
            <w:shd w:val="clear" w:color="auto" w:fill="auto"/>
            <w:vAlign w:val="center"/>
          </w:tcPr>
          <w:p w14:paraId="362E1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《汽车机械识图》</w:t>
            </w:r>
          </w:p>
        </w:tc>
        <w:tc>
          <w:tcPr>
            <w:tcW w:w="5720" w:type="dxa"/>
            <w:shd w:val="clear" w:color="auto" w:fill="auto"/>
            <w:vAlign w:val="top"/>
          </w:tcPr>
          <w:p w14:paraId="1004FF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掌握机械制图的基本原理、国家标准（如GB/T17450、GB/T4457等）及行业规范。理解汽车机械零件的投影方法、视图表达（三视图、剖视图、断面图等）。熟悉汽车典型部件（发动机、底盘、电气系统等）的结构图纸识读要点。能独立识读汽车零件图、装配图及原理图，提取尺寸、公差、技术要求等关键信息。能使用绘图工具（手工绘图或CAD软件）绘制简单汽车零件的三视图。能结合汽车构造知识，分析图纸与实际部件的对应关系。</w:t>
            </w:r>
          </w:p>
        </w:tc>
        <w:tc>
          <w:tcPr>
            <w:tcW w:w="867" w:type="dxa"/>
            <w:vAlign w:val="center"/>
          </w:tcPr>
          <w:p w14:paraId="69C78395">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5196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6F19F6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4</w:t>
            </w:r>
          </w:p>
        </w:tc>
        <w:tc>
          <w:tcPr>
            <w:tcW w:w="1000" w:type="dxa"/>
            <w:shd w:val="clear" w:color="auto" w:fill="auto"/>
            <w:vAlign w:val="center"/>
          </w:tcPr>
          <w:p w14:paraId="26417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《新能源汽车电力电子基础》</w:t>
            </w:r>
          </w:p>
        </w:tc>
        <w:tc>
          <w:tcPr>
            <w:tcW w:w="5720" w:type="dxa"/>
            <w:shd w:val="clear" w:color="auto" w:fill="auto"/>
            <w:vAlign w:val="top"/>
          </w:tcPr>
          <w:p w14:paraId="437D93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学生应掌握电力电子器件的基本工作原理、特性和主要参数，如二极管、晶闸管、IGBT等。理解各种变流电路的结构、工作原理和性能特点，包括整流电路、逆变电路、直流-直流变流电路和交流-交流变流电路等。熟悉PWM控制技术的基本原理和控制方法。了解软开关技术的基本概念和典型电路。培养学生严谨的科学态度和规范的操作习惯，确保在电力电子电路的设计、调试和维护过程中的安全性和可靠性。提升学生的创新意识和团队协作能力，鼓励学生在新能源汽车电力电子技术领域进行创新探索，并能在团队项目中有效沟通与合作。增强学生的环保意识和可持续发展观念，让学生认识到新能源汽车电力电子技术在节能减排和环境保护方面的重要作用。</w:t>
            </w:r>
          </w:p>
        </w:tc>
        <w:tc>
          <w:tcPr>
            <w:tcW w:w="867" w:type="dxa"/>
            <w:vAlign w:val="center"/>
          </w:tcPr>
          <w:p w14:paraId="3460A377">
            <w:pPr>
              <w:pStyle w:val="14"/>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bl>
    <w:p w14:paraId="080385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专业核心课程</w:t>
      </w:r>
    </w:p>
    <w:p w14:paraId="0B62B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w:t>
      </w:r>
      <w:r>
        <w:rPr>
          <w:rFonts w:hint="eastAsia" w:ascii="仿宋" w:hAnsi="仿宋" w:eastAsia="仿宋" w:cs="仿宋"/>
          <w:b w:val="0"/>
          <w:bCs w:val="0"/>
          <w:kern w:val="0"/>
          <w:sz w:val="24"/>
          <w:szCs w:val="24"/>
          <w:lang w:val="en-US" w:eastAsia="zh-CN"/>
        </w:rPr>
        <w:t>核心</w:t>
      </w:r>
      <w:r>
        <w:rPr>
          <w:rFonts w:hint="eastAsia" w:ascii="仿宋" w:hAnsi="仿宋" w:eastAsia="仿宋" w:cs="仿宋"/>
          <w:b w:val="0"/>
          <w:bCs w:val="0"/>
          <w:kern w:val="0"/>
          <w:sz w:val="24"/>
          <w:szCs w:val="24"/>
          <w:lang w:val="zh-CN" w:eastAsia="zh-CN"/>
        </w:rPr>
        <w:t>课程包括：新能源汽车维护、新能源汽车动力蓄电池系统构造与检修、新能源汽车驱动系统构造与检修、新能源汽车混合动力系统构造与检修、新能源汽车底盘构造与检修、新能源汽车电气系统构造与检修、新能源汽车充电桩系统构造与检修等。</w:t>
      </w:r>
    </w:p>
    <w:p w14:paraId="3E931E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3</w:t>
      </w:r>
      <w:r>
        <w:rPr>
          <w:rFonts w:hint="eastAsia" w:ascii="仿宋" w:hAnsi="仿宋" w:eastAsia="仿宋" w:cs="仿宋"/>
          <w:b/>
          <w:bCs/>
          <w:kern w:val="0"/>
          <w:sz w:val="24"/>
          <w:szCs w:val="24"/>
          <w:lang w:val="zh-CN" w:eastAsia="zh-CN"/>
        </w:rPr>
        <w:t>专业</w:t>
      </w:r>
      <w:r>
        <w:rPr>
          <w:rFonts w:hint="eastAsia" w:ascii="仿宋" w:hAnsi="仿宋" w:eastAsia="仿宋" w:cs="仿宋"/>
          <w:b/>
          <w:bCs/>
          <w:kern w:val="0"/>
          <w:sz w:val="24"/>
          <w:szCs w:val="24"/>
          <w:lang w:val="en-US" w:eastAsia="zh-CN"/>
        </w:rPr>
        <w:t>核心</w:t>
      </w:r>
      <w:r>
        <w:rPr>
          <w:rFonts w:hint="eastAsia" w:ascii="仿宋" w:hAnsi="仿宋" w:eastAsia="仿宋" w:cs="仿宋"/>
          <w:b/>
          <w:bCs/>
          <w:kern w:val="0"/>
          <w:sz w:val="24"/>
          <w:szCs w:val="24"/>
          <w:lang w:val="zh-CN" w:eastAsia="zh-CN"/>
        </w:rPr>
        <w:t>课程主要教学内容与要求</w:t>
      </w:r>
    </w:p>
    <w:tbl>
      <w:tblPr>
        <w:tblStyle w:val="12"/>
        <w:tblpPr w:leftFromText="180" w:rightFromText="180" w:vertAnchor="text" w:horzAnchor="page" w:tblpXSpec="center" w:tblpY="536"/>
        <w:tblOverlap w:val="never"/>
        <w:tblW w:w="8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014"/>
        <w:gridCol w:w="2856"/>
        <w:gridCol w:w="2864"/>
        <w:gridCol w:w="866"/>
      </w:tblGrid>
      <w:tr w14:paraId="3A24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31" w:type="dxa"/>
            <w:shd w:val="clear" w:color="auto" w:fill="BDD6EE"/>
            <w:vAlign w:val="center"/>
          </w:tcPr>
          <w:p w14:paraId="5E59ECB6">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14" w:type="dxa"/>
            <w:shd w:val="clear" w:color="auto" w:fill="BDD6EE"/>
            <w:vAlign w:val="center"/>
          </w:tcPr>
          <w:p w14:paraId="517D9A00">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2856" w:type="dxa"/>
            <w:shd w:val="clear" w:color="auto" w:fill="BDD6EE"/>
            <w:vAlign w:val="center"/>
          </w:tcPr>
          <w:p w14:paraId="55B4B1CF">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典型工作任务描述</w:t>
            </w:r>
          </w:p>
        </w:tc>
        <w:tc>
          <w:tcPr>
            <w:tcW w:w="2864" w:type="dxa"/>
            <w:shd w:val="clear" w:color="auto" w:fill="BDD6EE"/>
            <w:vAlign w:val="center"/>
          </w:tcPr>
          <w:p w14:paraId="17A39547">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lang w:val="zh-CN" w:eastAsia="zh-CN" w:bidi="ar-SA"/>
              </w:rPr>
              <w:t>主要教学内容与要求</w:t>
            </w:r>
          </w:p>
        </w:tc>
        <w:tc>
          <w:tcPr>
            <w:tcW w:w="866" w:type="dxa"/>
            <w:shd w:val="clear" w:color="auto" w:fill="BDD6EE"/>
            <w:vAlign w:val="center"/>
          </w:tcPr>
          <w:p w14:paraId="5A148D0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w:t>
            </w:r>
          </w:p>
          <w:p w14:paraId="6214DC1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安排</w:t>
            </w:r>
          </w:p>
        </w:tc>
      </w:tr>
      <w:tr w14:paraId="76C6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0417343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1</w:t>
            </w:r>
          </w:p>
        </w:tc>
        <w:tc>
          <w:tcPr>
            <w:tcW w:w="1014" w:type="dxa"/>
            <w:shd w:val="clear" w:color="auto" w:fill="auto"/>
            <w:vAlign w:val="center"/>
          </w:tcPr>
          <w:p w14:paraId="0F6DC8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《新能源汽车维护》</w:t>
            </w:r>
          </w:p>
        </w:tc>
        <w:tc>
          <w:tcPr>
            <w:tcW w:w="2856" w:type="dxa"/>
            <w:shd w:val="clear" w:color="auto" w:fill="auto"/>
            <w:vAlign w:val="center"/>
          </w:tcPr>
          <w:p w14:paraId="29434F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en-US" w:eastAsia="zh-CN"/>
              </w:rPr>
              <w:t>①</w:t>
            </w:r>
            <w:r>
              <w:rPr>
                <w:rFonts w:hint="eastAsia" w:ascii="仿宋" w:hAnsi="仿宋" w:eastAsia="仿宋" w:cs="仿宋"/>
                <w:b w:val="0"/>
                <w:bCs w:val="0"/>
                <w:kern w:val="0"/>
                <w:sz w:val="21"/>
                <w:szCs w:val="21"/>
                <w:vertAlign w:val="baseline"/>
                <w:lang w:val="zh-CN" w:eastAsia="zh-CN"/>
              </w:rPr>
              <w:t>依据新能源汽车安全操作规范，使用检测设备，完成新能源汽车关键总成的常规检查。</w:t>
            </w:r>
          </w:p>
          <w:p w14:paraId="31B9DC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②依据安全操作流程和技术标准，使用高压绝缘拆装工具、工艺指导书等，完成新能源汽车关键总成的维护。</w:t>
            </w:r>
          </w:p>
        </w:tc>
        <w:tc>
          <w:tcPr>
            <w:tcW w:w="2864" w:type="dxa"/>
            <w:shd w:val="clear" w:color="auto" w:fill="auto"/>
            <w:vAlign w:val="center"/>
          </w:tcPr>
          <w:p w14:paraId="44F144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①能够识别不同类型新能源汽车各系统的名称、结构和连接关系。</w:t>
            </w:r>
          </w:p>
          <w:p w14:paraId="20636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②能够完成新能源汽车相关部件的检查和调整。</w:t>
            </w:r>
          </w:p>
          <w:p w14:paraId="4F8DD5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③能够完成新能源汽车新车交车前检测（PDI检测）。</w:t>
            </w:r>
          </w:p>
          <w:p w14:paraId="098ACD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④能够按照技术要求完成新能源汽车40000km以内的维护作业。</w:t>
            </w:r>
          </w:p>
        </w:tc>
        <w:tc>
          <w:tcPr>
            <w:tcW w:w="866" w:type="dxa"/>
            <w:vAlign w:val="center"/>
          </w:tcPr>
          <w:p w14:paraId="18C4B855">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1261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2786746F">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2</w:t>
            </w:r>
          </w:p>
        </w:tc>
        <w:tc>
          <w:tcPr>
            <w:tcW w:w="1014" w:type="dxa"/>
            <w:shd w:val="clear" w:color="auto" w:fill="auto"/>
            <w:vAlign w:val="center"/>
          </w:tcPr>
          <w:p w14:paraId="159FEA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《新能源汽车动力蓄电池系统构造与检修》</w:t>
            </w:r>
          </w:p>
        </w:tc>
        <w:tc>
          <w:tcPr>
            <w:tcW w:w="2856" w:type="dxa"/>
            <w:shd w:val="clear" w:color="auto" w:fill="auto"/>
            <w:vAlign w:val="center"/>
          </w:tcPr>
          <w:p w14:paraId="1200BE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①依据安全操作流程和技术标准，使用拆装工具、工艺指导书等，完成动力蓄电池系统相关部件的拆装。</w:t>
            </w:r>
          </w:p>
          <w:p w14:paraId="7FC5A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②依据车辆维修手册，使用新能源汽车维修设备等工（量）具对动力蓄电池系统故障部件进行检修或更换。</w:t>
            </w:r>
          </w:p>
        </w:tc>
        <w:tc>
          <w:tcPr>
            <w:tcW w:w="2864" w:type="dxa"/>
            <w:shd w:val="clear" w:color="auto" w:fill="auto"/>
            <w:vAlign w:val="center"/>
          </w:tcPr>
          <w:p w14:paraId="5E2F73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①掌握新能源汽车动力蓄电池的结构及工作原理。</w:t>
            </w:r>
          </w:p>
          <w:p w14:paraId="286432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②能够按照技术要求对新能源汽车动力蓄电池系统进行拆装和常见故障排除。</w:t>
            </w:r>
          </w:p>
        </w:tc>
        <w:tc>
          <w:tcPr>
            <w:tcW w:w="866" w:type="dxa"/>
            <w:vAlign w:val="center"/>
          </w:tcPr>
          <w:p w14:paraId="2972C58F">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5983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35873B83">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3</w:t>
            </w:r>
          </w:p>
        </w:tc>
        <w:tc>
          <w:tcPr>
            <w:tcW w:w="1014" w:type="dxa"/>
            <w:shd w:val="clear" w:color="auto" w:fill="auto"/>
            <w:vAlign w:val="center"/>
          </w:tcPr>
          <w:p w14:paraId="5CD17D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《新能源汽车驱动系统构造与检修》</w:t>
            </w:r>
          </w:p>
        </w:tc>
        <w:tc>
          <w:tcPr>
            <w:tcW w:w="2856" w:type="dxa"/>
            <w:shd w:val="clear" w:color="auto" w:fill="auto"/>
            <w:vAlign w:val="center"/>
          </w:tcPr>
          <w:p w14:paraId="48418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①依据安全操作流程和技术标准，使用拆装工具、工艺指导书等，完成驱动电机系统相关部件的拆装。</w:t>
            </w:r>
          </w:p>
          <w:p w14:paraId="003A23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②依据检测标准与技术要求，按照检测流程对不同类型驱动电机进行性能测试。</w:t>
            </w:r>
          </w:p>
          <w:p w14:paraId="19A9CF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③依据车辆维修手册，使用绝缘电阻测试仪等工（量）具对驱动电机故障部件进行检修或更换。</w:t>
            </w:r>
          </w:p>
        </w:tc>
        <w:tc>
          <w:tcPr>
            <w:tcW w:w="2864" w:type="dxa"/>
            <w:shd w:val="clear" w:color="auto" w:fill="auto"/>
            <w:vAlign w:val="center"/>
          </w:tcPr>
          <w:p w14:paraId="69F3F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①掌握新能源汽车驱动电机的结构及工作原理，能够按照技术要求进行拆装和常见故障排除。</w:t>
            </w:r>
          </w:p>
          <w:p w14:paraId="32FD44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②掌握新能源汽车功率转换器的结构及工作原理，能够按照技术要求进行拆装和常见故障排除。</w:t>
            </w:r>
          </w:p>
          <w:p w14:paraId="764FE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③掌握新能源汽车动力传动装置的结构及工作原理，能够按照技术要求进行拆装和常见故障排除。</w:t>
            </w:r>
          </w:p>
        </w:tc>
        <w:tc>
          <w:tcPr>
            <w:tcW w:w="866" w:type="dxa"/>
            <w:vAlign w:val="center"/>
          </w:tcPr>
          <w:p w14:paraId="5E23DA54">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70B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1438A096">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4</w:t>
            </w:r>
          </w:p>
        </w:tc>
        <w:tc>
          <w:tcPr>
            <w:tcW w:w="1014" w:type="dxa"/>
            <w:shd w:val="clear" w:color="auto" w:fill="auto"/>
            <w:vAlign w:val="center"/>
          </w:tcPr>
          <w:p w14:paraId="28FD0D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《新能源汽车混合动力系统构造与检修》</w:t>
            </w:r>
          </w:p>
        </w:tc>
        <w:tc>
          <w:tcPr>
            <w:tcW w:w="2856" w:type="dxa"/>
            <w:shd w:val="clear" w:color="auto" w:fill="auto"/>
            <w:vAlign w:val="center"/>
          </w:tcPr>
          <w:p w14:paraId="6DD3FC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①依据安全操作流程和技术标准，使用拆装工具、工艺指导书等，完成混合动力汽车动力系统相关部件的拆装。</w:t>
            </w:r>
          </w:p>
          <w:p w14:paraId="361F10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②依据车辆维修手册，使用汽车维修设备等工（量）具对动力系统故障部件进行检修或更换。</w:t>
            </w:r>
          </w:p>
        </w:tc>
        <w:tc>
          <w:tcPr>
            <w:tcW w:w="2864" w:type="dxa"/>
            <w:shd w:val="clear" w:color="auto" w:fill="auto"/>
            <w:vAlign w:val="center"/>
          </w:tcPr>
          <w:p w14:paraId="50782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①掌握不同类型混合动力汽车的类型、结构及工作原理。</w:t>
            </w:r>
          </w:p>
          <w:p w14:paraId="78A04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②能够使用汽车检测设备检测混合动力汽车动力系统的技术状态。</w:t>
            </w:r>
          </w:p>
          <w:p w14:paraId="524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③能够按照技术要求对混合动力汽车动力系统进行拆装和常见故障</w:t>
            </w:r>
          </w:p>
          <w:p w14:paraId="04A5E2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排除。</w:t>
            </w:r>
          </w:p>
        </w:tc>
        <w:tc>
          <w:tcPr>
            <w:tcW w:w="866" w:type="dxa"/>
            <w:vAlign w:val="center"/>
          </w:tcPr>
          <w:p w14:paraId="5FC60BB8">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6E6D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7BB3FE17">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5</w:t>
            </w:r>
          </w:p>
        </w:tc>
        <w:tc>
          <w:tcPr>
            <w:tcW w:w="1014" w:type="dxa"/>
            <w:shd w:val="clear" w:color="auto" w:fill="auto"/>
            <w:vAlign w:val="center"/>
          </w:tcPr>
          <w:p w14:paraId="5BA1C3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《新能源汽车底盘构造与检修》</w:t>
            </w:r>
          </w:p>
        </w:tc>
        <w:tc>
          <w:tcPr>
            <w:tcW w:w="2856" w:type="dxa"/>
            <w:shd w:val="clear" w:color="auto" w:fill="auto"/>
            <w:vAlign w:val="center"/>
          </w:tcPr>
          <w:p w14:paraId="141590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①依据安全操作流程和技术标准，使用拆装工具、工艺指导书等，完成底盘相关部件的拆装。</w:t>
            </w:r>
          </w:p>
          <w:p w14:paraId="5EFCE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②依据车辆维修手册，使用汽车维修设备等工（量）具对底盘故障部件进行检修或更换。</w:t>
            </w:r>
          </w:p>
        </w:tc>
        <w:tc>
          <w:tcPr>
            <w:tcW w:w="2864" w:type="dxa"/>
            <w:shd w:val="clear" w:color="auto" w:fill="auto"/>
            <w:vAlign w:val="center"/>
          </w:tcPr>
          <w:p w14:paraId="0A7C9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①掌握底盘各系统的结构及工作原理。</w:t>
            </w:r>
          </w:p>
          <w:p w14:paraId="05A7D0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②能够使用汽车检测设备检测底盘零部件的技术状态。</w:t>
            </w:r>
          </w:p>
          <w:p w14:paraId="608C7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③能够按照技术要求对底盘进行拆装和常见故障排除。</w:t>
            </w:r>
          </w:p>
        </w:tc>
        <w:tc>
          <w:tcPr>
            <w:tcW w:w="866" w:type="dxa"/>
            <w:vAlign w:val="center"/>
          </w:tcPr>
          <w:p w14:paraId="3409E7B8">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35A0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088FBC6E">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6</w:t>
            </w:r>
          </w:p>
        </w:tc>
        <w:tc>
          <w:tcPr>
            <w:tcW w:w="1014" w:type="dxa"/>
            <w:shd w:val="clear" w:color="auto" w:fill="auto"/>
            <w:vAlign w:val="center"/>
          </w:tcPr>
          <w:p w14:paraId="448FAF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《新能源汽车电气系统构造与检修》</w:t>
            </w:r>
          </w:p>
        </w:tc>
        <w:tc>
          <w:tcPr>
            <w:tcW w:w="2856" w:type="dxa"/>
            <w:shd w:val="clear" w:color="auto" w:fill="auto"/>
            <w:vAlign w:val="center"/>
          </w:tcPr>
          <w:p w14:paraId="0C506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①依据安全操作流程和技术标准，使用常用拆装和检测工具、工艺指导书等，完成电气系统相关部件的拆装。</w:t>
            </w:r>
          </w:p>
          <w:p w14:paraId="37EFB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②依据车辆维修手册，使用汽车维修设备等工（量）具对电气系统故障部件进行检修或更换。</w:t>
            </w:r>
          </w:p>
        </w:tc>
        <w:tc>
          <w:tcPr>
            <w:tcW w:w="2864" w:type="dxa"/>
            <w:shd w:val="clear" w:color="auto" w:fill="auto"/>
            <w:vAlign w:val="center"/>
          </w:tcPr>
          <w:p w14:paraId="76FD5C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①掌握汽车电气系统的结构及工作原理。</w:t>
            </w:r>
          </w:p>
          <w:p w14:paraId="1C8AA7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②能够查询和使用汽车电路图、维修手册。</w:t>
            </w:r>
          </w:p>
          <w:p w14:paraId="34812C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③能够按照技术要求对电气设备进行拆装和常见故障排除。</w:t>
            </w:r>
          </w:p>
        </w:tc>
        <w:tc>
          <w:tcPr>
            <w:tcW w:w="866" w:type="dxa"/>
            <w:vAlign w:val="center"/>
          </w:tcPr>
          <w:p w14:paraId="75E99694">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1E5A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26450119">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7</w:t>
            </w:r>
          </w:p>
        </w:tc>
        <w:tc>
          <w:tcPr>
            <w:tcW w:w="1014" w:type="dxa"/>
            <w:shd w:val="clear" w:color="auto" w:fill="auto"/>
            <w:vAlign w:val="center"/>
          </w:tcPr>
          <w:p w14:paraId="66BB2F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《新能源汽车充电桩系统构造与检修》</w:t>
            </w:r>
          </w:p>
        </w:tc>
        <w:tc>
          <w:tcPr>
            <w:tcW w:w="2856" w:type="dxa"/>
            <w:shd w:val="clear" w:color="auto" w:fill="auto"/>
            <w:vAlign w:val="center"/>
          </w:tcPr>
          <w:p w14:paraId="419280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①依据安全操作流程和技术标准，使用拆装工具，根据工艺指导书、充电桩电路图，完成充电桩相关部件的装配与调试。</w:t>
            </w:r>
          </w:p>
          <w:p w14:paraId="1E879E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②依据充电桩维修手册、电路图等，使用万用表、绝缘电阻测试仪对充电桩系统故障部件进行检修或更换。</w:t>
            </w:r>
          </w:p>
        </w:tc>
        <w:tc>
          <w:tcPr>
            <w:tcW w:w="2864" w:type="dxa"/>
            <w:shd w:val="clear" w:color="auto" w:fill="auto"/>
            <w:vAlign w:val="center"/>
          </w:tcPr>
          <w:p w14:paraId="08D5B6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①掌握充电桩系统的结构及工作原理。</w:t>
            </w:r>
          </w:p>
          <w:p w14:paraId="70D51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②能够按照技术要求对充电桩系统进行拆装调试和常见故障排除</w:t>
            </w:r>
          </w:p>
        </w:tc>
        <w:tc>
          <w:tcPr>
            <w:tcW w:w="866" w:type="dxa"/>
            <w:vAlign w:val="center"/>
          </w:tcPr>
          <w:p w14:paraId="5F1C67AB">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bl>
    <w:p w14:paraId="4D2D5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专业拓展课程</w:t>
      </w:r>
    </w:p>
    <w:p w14:paraId="69006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专业拓展课程包括：智能网联汽车概论、汽车智能共享出行概论、汽车检测标准与法规、新能源汽车常见故障诊断与排除、汽车维修接待实务、汽车保险与理赔、汽车配件管理等领域的内容。</w:t>
      </w:r>
    </w:p>
    <w:p w14:paraId="1E9FD3E2">
      <w:pPr>
        <w:pStyle w:val="2"/>
        <w:bidi w:val="0"/>
        <w:rPr>
          <w:rFonts w:hint="eastAsia"/>
          <w:lang w:val="zh-CN" w:eastAsia="zh-CN"/>
        </w:rPr>
      </w:pPr>
      <w:bookmarkStart w:id="17" w:name="_Toc7278"/>
      <w:r>
        <w:rPr>
          <w:rFonts w:hint="eastAsia"/>
          <w:lang w:val="zh-CN" w:eastAsia="zh-CN"/>
        </w:rPr>
        <w:t>七、教学进程总体安排</w:t>
      </w:r>
      <w:bookmarkEnd w:id="17"/>
    </w:p>
    <w:p w14:paraId="5779C8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每学年为52周，其中教学时间40周（含复习考试），累计假期12周，3年总学时为</w:t>
      </w:r>
      <w:r>
        <w:rPr>
          <w:rFonts w:hint="eastAsia" w:ascii="仿宋" w:hAnsi="仿宋" w:eastAsia="仿宋" w:cs="仿宋"/>
          <w:b w:val="0"/>
          <w:bCs w:val="0"/>
          <w:kern w:val="0"/>
          <w:sz w:val="24"/>
          <w:szCs w:val="24"/>
          <w:lang w:val="en-US" w:eastAsia="zh-CN"/>
        </w:rPr>
        <w:t>4275</w:t>
      </w:r>
      <w:r>
        <w:rPr>
          <w:rFonts w:hint="eastAsia" w:ascii="仿宋" w:hAnsi="仿宋" w:eastAsia="仿宋" w:cs="仿宋"/>
          <w:b w:val="0"/>
          <w:bCs w:val="0"/>
          <w:kern w:val="0"/>
          <w:sz w:val="24"/>
          <w:szCs w:val="24"/>
          <w:lang w:val="zh-CN" w:eastAsia="zh-CN"/>
        </w:rPr>
        <w:t>学时。实行学分制的学校，</w:t>
      </w:r>
      <w:r>
        <w:rPr>
          <w:rFonts w:hint="eastAsia" w:ascii="仿宋" w:hAnsi="仿宋" w:eastAsia="仿宋" w:cs="仿宋"/>
          <w:b w:val="0"/>
          <w:bCs w:val="0"/>
          <w:kern w:val="0"/>
          <w:sz w:val="24"/>
          <w:szCs w:val="24"/>
          <w:lang w:val="en-US" w:eastAsia="zh-CN"/>
        </w:rPr>
        <w:t>17</w:t>
      </w:r>
      <w:r>
        <w:rPr>
          <w:rFonts w:hint="eastAsia" w:ascii="仿宋" w:hAnsi="仿宋" w:eastAsia="仿宋" w:cs="仿宋"/>
          <w:b w:val="0"/>
          <w:bCs w:val="0"/>
          <w:kern w:val="0"/>
          <w:sz w:val="24"/>
          <w:szCs w:val="24"/>
          <w:lang w:val="zh-CN" w:eastAsia="zh-CN"/>
        </w:rPr>
        <w:t>学时折算1学分。军训、社会实践、入学教育、毕业教育等活动按1周为1学分。</w:t>
      </w:r>
      <w:r>
        <w:rPr>
          <w:rFonts w:hint="eastAsia" w:ascii="仿宋" w:hAnsi="仿宋" w:eastAsia="仿宋" w:cs="仿宋"/>
          <w:b w:val="0"/>
          <w:bCs w:val="0"/>
          <w:kern w:val="0"/>
          <w:sz w:val="24"/>
          <w:szCs w:val="24"/>
          <w:lang w:val="en-US" w:eastAsia="zh-CN"/>
        </w:rPr>
        <w:t>其中，</w:t>
      </w:r>
      <w:r>
        <w:rPr>
          <w:rFonts w:hint="eastAsia" w:ascii="仿宋" w:hAnsi="仿宋" w:eastAsia="仿宋" w:cs="仿宋"/>
          <w:b w:val="0"/>
          <w:bCs w:val="0"/>
          <w:kern w:val="0"/>
          <w:sz w:val="24"/>
          <w:szCs w:val="24"/>
          <w:lang w:val="zh-CN" w:eastAsia="zh-CN"/>
        </w:rPr>
        <w:t>公共基础课程学时占总学时的1/3；专业课程学时占总学时的2/3。校外企业岗位实习时间</w:t>
      </w:r>
      <w:r>
        <w:rPr>
          <w:rFonts w:hint="eastAsia" w:ascii="仿宋" w:hAnsi="仿宋" w:eastAsia="仿宋" w:cs="仿宋"/>
          <w:b w:val="0"/>
          <w:bCs w:val="0"/>
          <w:kern w:val="0"/>
          <w:sz w:val="24"/>
          <w:szCs w:val="24"/>
          <w:lang w:val="en-US" w:eastAsia="zh-CN"/>
        </w:rPr>
        <w:t>为</w:t>
      </w:r>
      <w:r>
        <w:rPr>
          <w:rFonts w:hint="eastAsia" w:ascii="仿宋" w:hAnsi="仿宋" w:eastAsia="仿宋" w:cs="仿宋"/>
          <w:b w:val="0"/>
          <w:bCs w:val="0"/>
          <w:kern w:val="0"/>
          <w:sz w:val="24"/>
          <w:szCs w:val="24"/>
          <w:lang w:val="zh-CN" w:eastAsia="zh-CN"/>
        </w:rPr>
        <w:t>3个月。实践性教学学时占总学时50%以上，各类选修课程的学时占总学时的比例不少于10%。</w:t>
      </w:r>
    </w:p>
    <w:p w14:paraId="6AB490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表7-1教学进度总体安排</w:t>
      </w:r>
    </w:p>
    <w:tbl>
      <w:tblPr>
        <w:tblStyle w:val="11"/>
        <w:tblpPr w:rightFromText="115" w:topFromText="173" w:vertAnchor="text" w:horzAnchor="margin" w:tblpXSpec="center" w:tblpY="216"/>
        <w:tblW w:w="8095" w:type="dxa"/>
        <w:tblInd w:w="631" w:type="dxa"/>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38"/>
        <w:gridCol w:w="1865"/>
        <w:gridCol w:w="887"/>
        <w:gridCol w:w="871"/>
        <w:gridCol w:w="645"/>
        <w:gridCol w:w="599"/>
        <w:gridCol w:w="595"/>
        <w:gridCol w:w="500"/>
        <w:gridCol w:w="532"/>
        <w:gridCol w:w="763"/>
      </w:tblGrid>
      <w:tr w14:paraId="7A0589A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24" w:hRule="atLeast"/>
        </w:trPr>
        <w:tc>
          <w:tcPr>
            <w:tcW w:w="838" w:type="dxa"/>
            <w:vMerge w:val="restart"/>
            <w:shd w:val="clear" w:color="auto" w:fill="BDD6EE"/>
            <w:noWrap w:val="0"/>
            <w:vAlign w:val="center"/>
          </w:tcPr>
          <w:p w14:paraId="49B6ABE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课程类别</w:t>
            </w:r>
          </w:p>
        </w:tc>
        <w:tc>
          <w:tcPr>
            <w:tcW w:w="1865" w:type="dxa"/>
            <w:vMerge w:val="restart"/>
            <w:shd w:val="clear" w:color="auto" w:fill="BDD6EE"/>
            <w:noWrap w:val="0"/>
            <w:vAlign w:val="center"/>
          </w:tcPr>
          <w:p w14:paraId="6083B6BE">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课程名称</w:t>
            </w:r>
          </w:p>
        </w:tc>
        <w:tc>
          <w:tcPr>
            <w:tcW w:w="887" w:type="dxa"/>
            <w:vMerge w:val="restart"/>
            <w:shd w:val="clear" w:color="auto" w:fill="BDD6EE"/>
            <w:noWrap w:val="0"/>
            <w:vAlign w:val="center"/>
          </w:tcPr>
          <w:p w14:paraId="5676155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学分</w:t>
            </w:r>
          </w:p>
        </w:tc>
        <w:tc>
          <w:tcPr>
            <w:tcW w:w="871" w:type="dxa"/>
            <w:vMerge w:val="restart"/>
            <w:shd w:val="clear" w:color="auto" w:fill="BDD6EE"/>
            <w:noWrap w:val="0"/>
            <w:vAlign w:val="center"/>
          </w:tcPr>
          <w:p w14:paraId="163D1DD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学时</w:t>
            </w:r>
          </w:p>
        </w:tc>
        <w:tc>
          <w:tcPr>
            <w:tcW w:w="3634" w:type="dxa"/>
            <w:gridSpan w:val="6"/>
            <w:shd w:val="clear" w:color="auto" w:fill="BDD6EE"/>
            <w:noWrap w:val="0"/>
            <w:vAlign w:val="center"/>
          </w:tcPr>
          <w:p w14:paraId="7E4FA948">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学期</w:t>
            </w:r>
          </w:p>
        </w:tc>
      </w:tr>
      <w:tr w14:paraId="698014E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78" w:hRule="atLeast"/>
        </w:trPr>
        <w:tc>
          <w:tcPr>
            <w:tcW w:w="838" w:type="dxa"/>
            <w:vMerge w:val="continue"/>
            <w:shd w:val="clear" w:color="auto" w:fill="BDD6EE"/>
            <w:noWrap w:val="0"/>
            <w:vAlign w:val="center"/>
          </w:tcPr>
          <w:p w14:paraId="794B1A52">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vMerge w:val="continue"/>
            <w:shd w:val="clear" w:color="auto" w:fill="BDD6EE"/>
            <w:noWrap w:val="0"/>
            <w:vAlign w:val="center"/>
          </w:tcPr>
          <w:p w14:paraId="30581C02">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87" w:type="dxa"/>
            <w:vMerge w:val="continue"/>
            <w:shd w:val="clear" w:color="auto" w:fill="BDD6EE"/>
            <w:noWrap w:val="0"/>
            <w:vAlign w:val="center"/>
          </w:tcPr>
          <w:p w14:paraId="54C3DB83">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71" w:type="dxa"/>
            <w:vMerge w:val="continue"/>
            <w:shd w:val="clear" w:color="auto" w:fill="BDD6EE"/>
            <w:noWrap w:val="0"/>
            <w:vAlign w:val="center"/>
          </w:tcPr>
          <w:p w14:paraId="544261E7">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645" w:type="dxa"/>
            <w:shd w:val="clear" w:color="auto" w:fill="BDD6EE"/>
            <w:noWrap w:val="0"/>
            <w:vAlign w:val="center"/>
          </w:tcPr>
          <w:p w14:paraId="23CB575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w:t>
            </w:r>
          </w:p>
        </w:tc>
        <w:tc>
          <w:tcPr>
            <w:tcW w:w="599" w:type="dxa"/>
            <w:shd w:val="clear" w:color="auto" w:fill="BDD6EE"/>
            <w:noWrap w:val="0"/>
            <w:vAlign w:val="center"/>
          </w:tcPr>
          <w:p w14:paraId="674C807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2</w:t>
            </w:r>
          </w:p>
        </w:tc>
        <w:tc>
          <w:tcPr>
            <w:tcW w:w="595" w:type="dxa"/>
            <w:shd w:val="clear" w:color="auto" w:fill="BDD6EE"/>
            <w:noWrap w:val="0"/>
            <w:vAlign w:val="center"/>
          </w:tcPr>
          <w:p w14:paraId="74E31CAC">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3</w:t>
            </w:r>
          </w:p>
        </w:tc>
        <w:tc>
          <w:tcPr>
            <w:tcW w:w="500" w:type="dxa"/>
            <w:shd w:val="clear" w:color="auto" w:fill="BDD6EE"/>
            <w:noWrap w:val="0"/>
            <w:vAlign w:val="center"/>
          </w:tcPr>
          <w:p w14:paraId="3B255B28">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4</w:t>
            </w:r>
          </w:p>
        </w:tc>
        <w:tc>
          <w:tcPr>
            <w:tcW w:w="532" w:type="dxa"/>
            <w:shd w:val="clear" w:color="auto" w:fill="BDD6EE"/>
            <w:noWrap w:val="0"/>
            <w:vAlign w:val="center"/>
          </w:tcPr>
          <w:p w14:paraId="32279C0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5</w:t>
            </w:r>
          </w:p>
        </w:tc>
        <w:tc>
          <w:tcPr>
            <w:tcW w:w="763" w:type="dxa"/>
            <w:shd w:val="clear" w:color="auto" w:fill="BDD6EE"/>
            <w:noWrap w:val="0"/>
            <w:vAlign w:val="center"/>
          </w:tcPr>
          <w:p w14:paraId="1D74A198">
            <w:pPr>
              <w:pStyle w:val="14"/>
              <w:spacing w:line="360" w:lineRule="auto"/>
              <w:jc w:val="center"/>
              <w:rPr>
                <w:rFonts w:hint="eastAsia" w:ascii="仿宋" w:hAnsi="仿宋" w:eastAsia="仿宋" w:cs="仿宋"/>
                <w:b/>
                <w:bCs/>
                <w:kern w:val="0"/>
                <w:sz w:val="21"/>
                <w:szCs w:val="21"/>
                <w:lang w:val="en-US" w:eastAsia="zh-CN" w:bidi="ar-SA"/>
              </w:rPr>
            </w:pPr>
            <w:r>
              <w:rPr>
                <w:rFonts w:hint="eastAsia" w:ascii="仿宋" w:hAnsi="仿宋" w:eastAsia="仿宋" w:cs="仿宋"/>
                <w:b/>
                <w:bCs/>
                <w:kern w:val="0"/>
                <w:sz w:val="21"/>
                <w:szCs w:val="21"/>
                <w:lang w:val="en-US" w:eastAsia="zh-CN" w:bidi="ar-SA"/>
              </w:rPr>
              <w:t>6</w:t>
            </w:r>
          </w:p>
        </w:tc>
      </w:tr>
      <w:tr w14:paraId="07F4950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restart"/>
            <w:shd w:val="clear" w:color="auto" w:fill="BDD6EE"/>
            <w:noWrap w:val="0"/>
            <w:textDirection w:val="tbRlV"/>
            <w:vAlign w:val="center"/>
          </w:tcPr>
          <w:p w14:paraId="13BBF62C">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公共基础课</w:t>
            </w:r>
          </w:p>
        </w:tc>
        <w:tc>
          <w:tcPr>
            <w:tcW w:w="1865" w:type="dxa"/>
            <w:shd w:val="clear" w:color="auto" w:fill="auto"/>
            <w:noWrap w:val="0"/>
            <w:vAlign w:val="center"/>
          </w:tcPr>
          <w:p w14:paraId="16E372A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《思想政治》</w:t>
            </w:r>
          </w:p>
        </w:tc>
        <w:tc>
          <w:tcPr>
            <w:tcW w:w="887" w:type="dxa"/>
            <w:shd w:val="clear" w:color="auto" w:fill="auto"/>
            <w:noWrap w:val="0"/>
            <w:vAlign w:val="center"/>
          </w:tcPr>
          <w:p w14:paraId="3D4F79C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w:t>
            </w:r>
          </w:p>
        </w:tc>
        <w:tc>
          <w:tcPr>
            <w:tcW w:w="871" w:type="dxa"/>
            <w:shd w:val="clear" w:color="auto" w:fill="auto"/>
            <w:noWrap w:val="0"/>
            <w:vAlign w:val="center"/>
          </w:tcPr>
          <w:p w14:paraId="465FA59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r>
              <w:rPr>
                <w:rFonts w:hint="eastAsia" w:ascii="仿宋" w:hAnsi="仿宋" w:cs="仿宋"/>
                <w:kern w:val="0"/>
                <w:sz w:val="18"/>
                <w:szCs w:val="18"/>
                <w:lang w:val="en-US" w:eastAsia="zh-CN" w:bidi="ar-SA"/>
              </w:rPr>
              <w:t>52</w:t>
            </w:r>
          </w:p>
        </w:tc>
        <w:tc>
          <w:tcPr>
            <w:tcW w:w="645" w:type="dxa"/>
            <w:shd w:val="clear" w:color="auto" w:fill="auto"/>
            <w:noWrap w:val="0"/>
            <w:vAlign w:val="center"/>
          </w:tcPr>
          <w:p w14:paraId="64D20EE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3B45437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69E1B62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00" w:type="dxa"/>
            <w:shd w:val="clear" w:color="auto" w:fill="auto"/>
            <w:noWrap w:val="0"/>
            <w:vAlign w:val="center"/>
          </w:tcPr>
          <w:p w14:paraId="60AD47F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32" w:type="dxa"/>
            <w:shd w:val="clear" w:color="auto" w:fill="auto"/>
            <w:noWrap w:val="0"/>
            <w:vAlign w:val="center"/>
          </w:tcPr>
          <w:p w14:paraId="78C4D34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restart"/>
            <w:noWrap w:val="0"/>
            <w:vAlign w:val="center"/>
          </w:tcPr>
          <w:p w14:paraId="1FB12290">
            <w:pPr>
              <w:pStyle w:val="14"/>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val="0"/>
                <w:bCs w:val="0"/>
                <w:kern w:val="0"/>
                <w:sz w:val="21"/>
                <w:szCs w:val="21"/>
                <w:lang w:val="zh-CN" w:eastAsia="zh-CN" w:bidi="ar-SA"/>
              </w:rPr>
              <w:t>校外岗位</w:t>
            </w:r>
            <w:r>
              <w:rPr>
                <w:rFonts w:hint="eastAsia" w:ascii="仿宋" w:hAnsi="仿宋" w:eastAsia="仿宋" w:cs="仿宋"/>
                <w:b w:val="0"/>
                <w:bCs w:val="0"/>
                <w:kern w:val="0"/>
                <w:sz w:val="21"/>
                <w:szCs w:val="21"/>
                <w:lang w:val="en-US" w:eastAsia="zh-CN" w:bidi="ar-SA"/>
              </w:rPr>
              <w:t>实习</w:t>
            </w:r>
          </w:p>
        </w:tc>
      </w:tr>
      <w:tr w14:paraId="2DCD909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54750AD">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27EAFA40">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《语文》</w:t>
            </w:r>
          </w:p>
        </w:tc>
        <w:tc>
          <w:tcPr>
            <w:tcW w:w="887" w:type="dxa"/>
            <w:shd w:val="clear" w:color="auto" w:fill="auto"/>
            <w:noWrap w:val="0"/>
            <w:vAlign w:val="center"/>
          </w:tcPr>
          <w:p w14:paraId="20732B2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21</w:t>
            </w:r>
          </w:p>
        </w:tc>
        <w:tc>
          <w:tcPr>
            <w:tcW w:w="871" w:type="dxa"/>
            <w:shd w:val="clear" w:color="auto" w:fill="auto"/>
            <w:noWrap w:val="0"/>
            <w:vAlign w:val="center"/>
          </w:tcPr>
          <w:p w14:paraId="5191577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361</w:t>
            </w:r>
          </w:p>
        </w:tc>
        <w:tc>
          <w:tcPr>
            <w:tcW w:w="645" w:type="dxa"/>
            <w:shd w:val="clear" w:color="auto" w:fill="auto"/>
            <w:noWrap w:val="0"/>
            <w:vAlign w:val="center"/>
          </w:tcPr>
          <w:p w14:paraId="0DF0101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5509FD6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5" w:type="dxa"/>
            <w:shd w:val="clear" w:color="auto" w:fill="auto"/>
            <w:noWrap w:val="0"/>
            <w:vAlign w:val="center"/>
          </w:tcPr>
          <w:p w14:paraId="30CE6A0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57</w:t>
            </w:r>
          </w:p>
        </w:tc>
        <w:tc>
          <w:tcPr>
            <w:tcW w:w="500" w:type="dxa"/>
            <w:shd w:val="clear" w:color="auto" w:fill="auto"/>
            <w:noWrap w:val="0"/>
            <w:vAlign w:val="center"/>
          </w:tcPr>
          <w:p w14:paraId="78B6691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57</w:t>
            </w:r>
          </w:p>
        </w:tc>
        <w:tc>
          <w:tcPr>
            <w:tcW w:w="532" w:type="dxa"/>
            <w:shd w:val="clear" w:color="auto" w:fill="auto"/>
            <w:noWrap w:val="0"/>
            <w:vAlign w:val="center"/>
          </w:tcPr>
          <w:p w14:paraId="0605F27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24DDDC60">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943F1C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F33C1E8">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3C7169C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历史</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2325C61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37C63F5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645" w:type="dxa"/>
            <w:shd w:val="clear" w:color="auto" w:fill="auto"/>
            <w:noWrap w:val="0"/>
            <w:vAlign w:val="center"/>
          </w:tcPr>
          <w:p w14:paraId="58F35FE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38</w:t>
            </w:r>
          </w:p>
        </w:tc>
        <w:tc>
          <w:tcPr>
            <w:tcW w:w="599" w:type="dxa"/>
            <w:shd w:val="clear" w:color="auto" w:fill="auto"/>
            <w:noWrap w:val="0"/>
            <w:vAlign w:val="center"/>
          </w:tcPr>
          <w:p w14:paraId="2B87B44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38</w:t>
            </w:r>
          </w:p>
        </w:tc>
        <w:tc>
          <w:tcPr>
            <w:tcW w:w="595" w:type="dxa"/>
            <w:shd w:val="clear" w:color="auto" w:fill="auto"/>
            <w:noWrap w:val="0"/>
            <w:vAlign w:val="center"/>
          </w:tcPr>
          <w:p w14:paraId="1C401A1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3DF9DE3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531E2BA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7B41FFBD">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13074E6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57A18CA">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7C988D2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《数学》</w:t>
            </w:r>
          </w:p>
        </w:tc>
        <w:tc>
          <w:tcPr>
            <w:tcW w:w="887" w:type="dxa"/>
            <w:shd w:val="clear" w:color="auto" w:fill="auto"/>
            <w:noWrap w:val="0"/>
            <w:vAlign w:val="center"/>
          </w:tcPr>
          <w:p w14:paraId="768F884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24</w:t>
            </w:r>
          </w:p>
        </w:tc>
        <w:tc>
          <w:tcPr>
            <w:tcW w:w="871" w:type="dxa"/>
            <w:shd w:val="clear" w:color="auto" w:fill="auto"/>
            <w:noWrap w:val="0"/>
            <w:vAlign w:val="center"/>
          </w:tcPr>
          <w:p w14:paraId="5345324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w:t>
            </w:r>
            <w:r>
              <w:rPr>
                <w:rFonts w:hint="eastAsia" w:ascii="仿宋" w:hAnsi="仿宋" w:cs="仿宋"/>
                <w:kern w:val="0"/>
                <w:sz w:val="18"/>
                <w:szCs w:val="18"/>
                <w:lang w:val="en-US" w:eastAsia="zh-CN" w:bidi="ar-SA"/>
              </w:rPr>
              <w:t>99</w:t>
            </w:r>
          </w:p>
        </w:tc>
        <w:tc>
          <w:tcPr>
            <w:tcW w:w="645" w:type="dxa"/>
            <w:shd w:val="clear" w:color="auto" w:fill="auto"/>
            <w:noWrap w:val="0"/>
            <w:vAlign w:val="center"/>
          </w:tcPr>
          <w:p w14:paraId="00EBBD6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599" w:type="dxa"/>
            <w:shd w:val="clear" w:color="auto" w:fill="auto"/>
            <w:noWrap w:val="0"/>
            <w:vAlign w:val="center"/>
          </w:tcPr>
          <w:p w14:paraId="717A9F8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595" w:type="dxa"/>
            <w:shd w:val="clear" w:color="auto" w:fill="auto"/>
            <w:noWrap w:val="0"/>
            <w:vAlign w:val="center"/>
          </w:tcPr>
          <w:p w14:paraId="7022A0F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00" w:type="dxa"/>
            <w:shd w:val="clear" w:color="auto" w:fill="auto"/>
            <w:noWrap w:val="0"/>
            <w:vAlign w:val="center"/>
          </w:tcPr>
          <w:p w14:paraId="0B5ABA1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32" w:type="dxa"/>
            <w:shd w:val="clear" w:color="auto" w:fill="auto"/>
            <w:noWrap w:val="0"/>
            <w:vAlign w:val="center"/>
          </w:tcPr>
          <w:p w14:paraId="1A5657C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49EEB7D8">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5114497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F393F76">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692D663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物理</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02E2C92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7DB3F33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4E6FE32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601FC4E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7154ED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587C0DA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45D7E99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5636B1EE">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68A08DB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4C083D6">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328821B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化学</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6B20029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871" w:type="dxa"/>
            <w:shd w:val="clear" w:color="auto" w:fill="auto"/>
            <w:noWrap w:val="0"/>
            <w:vAlign w:val="center"/>
          </w:tcPr>
          <w:p w14:paraId="6D28143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645" w:type="dxa"/>
            <w:shd w:val="clear" w:color="auto" w:fill="auto"/>
            <w:noWrap w:val="0"/>
            <w:vAlign w:val="center"/>
          </w:tcPr>
          <w:p w14:paraId="7E7B531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4F5763D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4DEA765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054DF11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6F5596E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6C7C0C20">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39BAF6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037A7CF">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1B944C1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《英语》</w:t>
            </w:r>
          </w:p>
        </w:tc>
        <w:tc>
          <w:tcPr>
            <w:tcW w:w="887" w:type="dxa"/>
            <w:shd w:val="clear" w:color="auto" w:fill="auto"/>
            <w:noWrap w:val="0"/>
            <w:vAlign w:val="center"/>
          </w:tcPr>
          <w:p w14:paraId="1D985CB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21</w:t>
            </w:r>
          </w:p>
        </w:tc>
        <w:tc>
          <w:tcPr>
            <w:tcW w:w="871" w:type="dxa"/>
            <w:shd w:val="clear" w:color="auto" w:fill="auto"/>
            <w:noWrap w:val="0"/>
            <w:vAlign w:val="center"/>
          </w:tcPr>
          <w:p w14:paraId="0C4F56E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w:t>
            </w:r>
            <w:r>
              <w:rPr>
                <w:rFonts w:hint="eastAsia" w:ascii="仿宋" w:hAnsi="仿宋" w:cs="仿宋"/>
                <w:kern w:val="0"/>
                <w:sz w:val="18"/>
                <w:szCs w:val="18"/>
                <w:lang w:val="en-US" w:eastAsia="zh-CN" w:bidi="ar-SA"/>
              </w:rPr>
              <w:t>61</w:t>
            </w:r>
          </w:p>
        </w:tc>
        <w:tc>
          <w:tcPr>
            <w:tcW w:w="645" w:type="dxa"/>
            <w:shd w:val="clear" w:color="auto" w:fill="auto"/>
            <w:noWrap w:val="0"/>
            <w:vAlign w:val="center"/>
          </w:tcPr>
          <w:p w14:paraId="2B7C0E5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4B3F8C9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595" w:type="dxa"/>
            <w:shd w:val="clear" w:color="auto" w:fill="auto"/>
            <w:noWrap w:val="0"/>
            <w:vAlign w:val="center"/>
          </w:tcPr>
          <w:p w14:paraId="0C78768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00" w:type="dxa"/>
            <w:shd w:val="clear" w:color="auto" w:fill="auto"/>
            <w:noWrap w:val="0"/>
            <w:vAlign w:val="center"/>
          </w:tcPr>
          <w:p w14:paraId="744BC3D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32" w:type="dxa"/>
            <w:shd w:val="clear" w:color="auto" w:fill="auto"/>
            <w:noWrap w:val="0"/>
            <w:vAlign w:val="center"/>
          </w:tcPr>
          <w:p w14:paraId="32467AC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0FCD138D">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5375DA3">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7FAF99F">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00A24F4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信息技术</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047CC88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4F85585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4276E11E">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18997BD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1F3DD12E">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223A04A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63264AC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58DB36AB">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19B7755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B50029D">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54C99D0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体育与健康</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107C40B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26DB088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6EBF4D7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01961E0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58374B3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00" w:type="dxa"/>
            <w:shd w:val="clear" w:color="auto" w:fill="auto"/>
            <w:noWrap w:val="0"/>
            <w:vAlign w:val="center"/>
          </w:tcPr>
          <w:p w14:paraId="4E62E10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32" w:type="dxa"/>
            <w:shd w:val="clear" w:color="auto" w:fill="auto"/>
            <w:noWrap w:val="0"/>
            <w:vAlign w:val="center"/>
          </w:tcPr>
          <w:p w14:paraId="53788AD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763" w:type="dxa"/>
            <w:vMerge w:val="continue"/>
            <w:noWrap w:val="0"/>
            <w:vAlign w:val="center"/>
          </w:tcPr>
          <w:p w14:paraId="7C10B155">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BC4682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00AC81B">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4FE6B28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艺术</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286053B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0487D3E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771B34C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9" w:type="dxa"/>
            <w:shd w:val="clear" w:color="auto" w:fill="auto"/>
            <w:noWrap w:val="0"/>
            <w:vAlign w:val="center"/>
          </w:tcPr>
          <w:p w14:paraId="5A940C6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74C29CB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78474F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8DC219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BC919F7">
            <w:pPr>
              <w:tabs>
                <w:tab w:val="left" w:pos="426"/>
                <w:tab w:val="left" w:pos="851"/>
              </w:tabs>
              <w:spacing w:line="360" w:lineRule="auto"/>
              <w:jc w:val="both"/>
              <w:rPr>
                <w:rFonts w:hint="eastAsia" w:ascii="仿宋" w:hAnsi="仿宋" w:eastAsia="仿宋" w:cs="仿宋"/>
                <w:kern w:val="0"/>
                <w:sz w:val="21"/>
                <w:szCs w:val="21"/>
                <w:lang w:val="zh-CN" w:eastAsia="zh-CN" w:bidi="ar-SA"/>
              </w:rPr>
            </w:pPr>
          </w:p>
        </w:tc>
      </w:tr>
      <w:tr w14:paraId="4935A43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E55190A">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165EAF4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劳动教育</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1D39C83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3475445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645" w:type="dxa"/>
            <w:shd w:val="clear" w:color="auto" w:fill="auto"/>
            <w:noWrap w:val="0"/>
            <w:vAlign w:val="center"/>
          </w:tcPr>
          <w:p w14:paraId="1BC1587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9" w:type="dxa"/>
            <w:shd w:val="clear" w:color="auto" w:fill="auto"/>
            <w:noWrap w:val="0"/>
            <w:vAlign w:val="center"/>
          </w:tcPr>
          <w:p w14:paraId="3711355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1AD71A5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00" w:type="dxa"/>
            <w:shd w:val="clear" w:color="auto" w:fill="auto"/>
            <w:noWrap w:val="0"/>
            <w:vAlign w:val="center"/>
          </w:tcPr>
          <w:p w14:paraId="020C13E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32" w:type="dxa"/>
            <w:shd w:val="clear" w:color="auto" w:fill="auto"/>
            <w:noWrap w:val="0"/>
            <w:vAlign w:val="center"/>
          </w:tcPr>
          <w:p w14:paraId="4F11A8D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5060B0A0">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BD77A7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51EB4B4">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572F0B5A">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公共基础课小计</w:t>
            </w:r>
          </w:p>
        </w:tc>
        <w:tc>
          <w:tcPr>
            <w:tcW w:w="887" w:type="dxa"/>
            <w:shd w:val="clear" w:color="auto" w:fill="auto"/>
            <w:noWrap w:val="0"/>
            <w:vAlign w:val="center"/>
          </w:tcPr>
          <w:p w14:paraId="67CB5474">
            <w:pPr>
              <w:pStyle w:val="14"/>
              <w:keepNext w:val="0"/>
              <w:keepLines w:val="0"/>
              <w:pageBreakBefore w:val="0"/>
              <w:kinsoku/>
              <w:wordWrap/>
              <w:overflowPunct/>
              <w:topLinePunct w:val="0"/>
              <w:bidi w:val="0"/>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103</w:t>
            </w:r>
          </w:p>
        </w:tc>
        <w:tc>
          <w:tcPr>
            <w:tcW w:w="871" w:type="dxa"/>
            <w:shd w:val="clear" w:color="auto" w:fill="auto"/>
            <w:noWrap w:val="0"/>
            <w:vAlign w:val="center"/>
          </w:tcPr>
          <w:p w14:paraId="0942DF64">
            <w:pPr>
              <w:pStyle w:val="14"/>
              <w:keepNext w:val="0"/>
              <w:keepLines w:val="0"/>
              <w:pageBreakBefore w:val="0"/>
              <w:kinsoku/>
              <w:wordWrap/>
              <w:overflowPunct/>
              <w:topLinePunct w:val="0"/>
              <w:bidi w:val="0"/>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1786</w:t>
            </w:r>
          </w:p>
        </w:tc>
        <w:tc>
          <w:tcPr>
            <w:tcW w:w="645" w:type="dxa"/>
            <w:shd w:val="clear" w:color="auto" w:fill="auto"/>
            <w:noWrap w:val="0"/>
            <w:vAlign w:val="center"/>
          </w:tcPr>
          <w:p w14:paraId="450CA9A0">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99" w:type="dxa"/>
            <w:shd w:val="clear" w:color="auto" w:fill="auto"/>
            <w:noWrap w:val="0"/>
            <w:vAlign w:val="center"/>
          </w:tcPr>
          <w:p w14:paraId="212582B9">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95" w:type="dxa"/>
            <w:shd w:val="clear" w:color="auto" w:fill="auto"/>
            <w:noWrap w:val="0"/>
            <w:vAlign w:val="center"/>
          </w:tcPr>
          <w:p w14:paraId="47B06015">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00" w:type="dxa"/>
            <w:shd w:val="clear" w:color="auto" w:fill="auto"/>
            <w:noWrap w:val="0"/>
            <w:vAlign w:val="center"/>
          </w:tcPr>
          <w:p w14:paraId="5739855A">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32" w:type="dxa"/>
            <w:shd w:val="clear" w:color="auto" w:fill="auto"/>
            <w:noWrap w:val="0"/>
            <w:vAlign w:val="center"/>
          </w:tcPr>
          <w:p w14:paraId="7422FD4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180AFF52">
            <w:pPr>
              <w:pStyle w:val="14"/>
              <w:spacing w:line="360" w:lineRule="auto"/>
              <w:jc w:val="both"/>
              <w:rPr>
                <w:rFonts w:hint="eastAsia" w:ascii="仿宋" w:hAnsi="仿宋" w:eastAsia="仿宋" w:cs="仿宋"/>
                <w:b/>
                <w:bCs/>
                <w:kern w:val="0"/>
                <w:sz w:val="21"/>
                <w:szCs w:val="21"/>
                <w:lang w:val="zh-CN" w:eastAsia="zh-CN" w:bidi="ar-SA"/>
              </w:rPr>
            </w:pPr>
          </w:p>
        </w:tc>
      </w:tr>
      <w:tr w14:paraId="36AD47C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restart"/>
            <w:shd w:val="clear" w:color="auto" w:fill="BDD6EE"/>
            <w:noWrap w:val="0"/>
            <w:vAlign w:val="center"/>
          </w:tcPr>
          <w:p w14:paraId="623D0D61">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专</w:t>
            </w:r>
          </w:p>
          <w:p w14:paraId="08C436D8">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业</w:t>
            </w:r>
          </w:p>
          <w:p w14:paraId="2184D811">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课</w:t>
            </w:r>
          </w:p>
          <w:p w14:paraId="32ECA0E0">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程</w:t>
            </w:r>
          </w:p>
        </w:tc>
        <w:tc>
          <w:tcPr>
            <w:tcW w:w="1865" w:type="dxa"/>
            <w:shd w:val="clear" w:color="auto" w:fill="auto"/>
            <w:noWrap w:val="0"/>
            <w:vAlign w:val="center"/>
          </w:tcPr>
          <w:p w14:paraId="2ED94CF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《新能源汽车概论》</w:t>
            </w:r>
          </w:p>
        </w:tc>
        <w:tc>
          <w:tcPr>
            <w:tcW w:w="887" w:type="dxa"/>
            <w:shd w:val="clear" w:color="auto" w:fill="auto"/>
            <w:noWrap w:val="0"/>
            <w:vAlign w:val="center"/>
          </w:tcPr>
          <w:p w14:paraId="1BA8585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6F0152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004A0D5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66215A7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1727ED9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3E23A25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7B8BBD5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906CBBC">
            <w:pPr>
              <w:tabs>
                <w:tab w:val="left" w:pos="426"/>
                <w:tab w:val="left" w:pos="851"/>
              </w:tabs>
              <w:spacing w:line="360" w:lineRule="auto"/>
              <w:jc w:val="both"/>
              <w:rPr>
                <w:rFonts w:hint="eastAsia" w:ascii="仿宋" w:hAnsi="仿宋" w:eastAsia="仿宋" w:cs="仿宋"/>
                <w:kern w:val="0"/>
                <w:sz w:val="21"/>
                <w:szCs w:val="21"/>
                <w:lang w:val="zh-CN" w:eastAsia="zh-CN" w:bidi="ar-SA"/>
              </w:rPr>
            </w:pPr>
          </w:p>
        </w:tc>
      </w:tr>
      <w:tr w14:paraId="66F5E97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5097BE3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687157C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《汽车机械基础》</w:t>
            </w:r>
          </w:p>
        </w:tc>
        <w:tc>
          <w:tcPr>
            <w:tcW w:w="887" w:type="dxa"/>
            <w:shd w:val="clear" w:color="auto" w:fill="auto"/>
            <w:noWrap w:val="0"/>
            <w:vAlign w:val="center"/>
          </w:tcPr>
          <w:p w14:paraId="0FEADD1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42B1F1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1CB365F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795E59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A78FC2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13C62A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5549231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48995F47">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065946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2CA3CD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DE33DC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《汽车机械识图》</w:t>
            </w:r>
          </w:p>
        </w:tc>
        <w:tc>
          <w:tcPr>
            <w:tcW w:w="887" w:type="dxa"/>
            <w:shd w:val="clear" w:color="auto" w:fill="auto"/>
            <w:noWrap w:val="0"/>
            <w:vAlign w:val="center"/>
          </w:tcPr>
          <w:p w14:paraId="60B0D62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44744E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32CC025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448C01A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BC7CF4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8DF36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282D4C3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1713D0ED">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A4BAE4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PrEx>
        <w:trPr>
          <w:cantSplit/>
          <w:trHeight w:val="567" w:hRule="atLeast"/>
        </w:trPr>
        <w:tc>
          <w:tcPr>
            <w:tcW w:w="838" w:type="dxa"/>
            <w:vMerge w:val="continue"/>
            <w:shd w:val="clear" w:color="auto" w:fill="BDD6EE"/>
            <w:noWrap w:val="0"/>
            <w:vAlign w:val="center"/>
          </w:tcPr>
          <w:p w14:paraId="6E0C234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837A02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《汽车保险与理赔》</w:t>
            </w:r>
          </w:p>
        </w:tc>
        <w:tc>
          <w:tcPr>
            <w:tcW w:w="887" w:type="dxa"/>
            <w:shd w:val="clear" w:color="auto" w:fill="auto"/>
            <w:noWrap w:val="0"/>
            <w:vAlign w:val="center"/>
          </w:tcPr>
          <w:p w14:paraId="08ED129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31E388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0C10705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5364AE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3BB4FD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F62770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8F7020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28A1F30">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6F116B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F9FB6A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1381C8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《新能源汽车电力电子基础》</w:t>
            </w:r>
          </w:p>
        </w:tc>
        <w:tc>
          <w:tcPr>
            <w:tcW w:w="887" w:type="dxa"/>
            <w:shd w:val="clear" w:color="auto" w:fill="auto"/>
            <w:noWrap w:val="0"/>
            <w:vAlign w:val="center"/>
          </w:tcPr>
          <w:p w14:paraId="36A315C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1ABFBE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0A6D41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39C3DA1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595" w:type="dxa"/>
            <w:shd w:val="clear" w:color="auto" w:fill="auto"/>
            <w:noWrap w:val="0"/>
            <w:vAlign w:val="center"/>
          </w:tcPr>
          <w:p w14:paraId="3076949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5BFF6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643CFBC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E828AEB">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53C3EA5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08A31B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4B1893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《新能源汽车维护》</w:t>
            </w:r>
          </w:p>
        </w:tc>
        <w:tc>
          <w:tcPr>
            <w:tcW w:w="887" w:type="dxa"/>
            <w:shd w:val="clear" w:color="auto" w:fill="auto"/>
            <w:noWrap w:val="0"/>
            <w:vAlign w:val="center"/>
          </w:tcPr>
          <w:p w14:paraId="4279B91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F05709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198C7F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3AF52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595" w:type="dxa"/>
            <w:shd w:val="clear" w:color="auto" w:fill="auto"/>
            <w:noWrap w:val="0"/>
            <w:vAlign w:val="center"/>
          </w:tcPr>
          <w:p w14:paraId="2523C43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6BB70B8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99262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DC9FDF2">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5D3B902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88DA57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2E986E7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《新能源汽车底盘构造与检修》</w:t>
            </w:r>
          </w:p>
        </w:tc>
        <w:tc>
          <w:tcPr>
            <w:tcW w:w="887" w:type="dxa"/>
            <w:shd w:val="clear" w:color="auto" w:fill="auto"/>
            <w:noWrap w:val="0"/>
            <w:vAlign w:val="center"/>
          </w:tcPr>
          <w:p w14:paraId="575D4A8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1848A1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953F44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25E354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28770E2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1EB321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7F7F4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F068C24">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93EB91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28BE99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D6DC0D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《新能源汽车电气系统构造与检修》</w:t>
            </w:r>
          </w:p>
        </w:tc>
        <w:tc>
          <w:tcPr>
            <w:tcW w:w="887" w:type="dxa"/>
            <w:shd w:val="clear" w:color="auto" w:fill="auto"/>
            <w:noWrap w:val="0"/>
            <w:vAlign w:val="center"/>
          </w:tcPr>
          <w:p w14:paraId="3A6EA7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167BEC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0EF685A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F861B8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108C139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07870FB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558D23C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0D4DA01">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719CBE9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B5102CD">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A4A989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《汽车钣金修复技术》</w:t>
            </w:r>
          </w:p>
        </w:tc>
        <w:tc>
          <w:tcPr>
            <w:tcW w:w="887" w:type="dxa"/>
            <w:shd w:val="clear" w:color="auto" w:fill="auto"/>
            <w:noWrap w:val="0"/>
            <w:vAlign w:val="center"/>
          </w:tcPr>
          <w:p w14:paraId="0A52F3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98DF9C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2281B2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56676BB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6B83225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4B734CF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2EF092F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4C221E65">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2D7686B4">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79924AB9">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92F22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《汽车美容与装饰》</w:t>
            </w:r>
          </w:p>
        </w:tc>
        <w:tc>
          <w:tcPr>
            <w:tcW w:w="887" w:type="dxa"/>
            <w:shd w:val="clear" w:color="auto" w:fill="auto"/>
            <w:noWrap w:val="0"/>
            <w:vAlign w:val="center"/>
          </w:tcPr>
          <w:p w14:paraId="40CD7FA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6B4CB0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DE3EEF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50DF89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576B74F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2442B9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7553BC4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B03E3ED">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B1D7802">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60E8A7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832F7F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《新能源汽车动力蓄电池系统构造与检修》</w:t>
            </w:r>
          </w:p>
        </w:tc>
        <w:tc>
          <w:tcPr>
            <w:tcW w:w="887" w:type="dxa"/>
            <w:shd w:val="clear" w:color="auto" w:fill="auto"/>
            <w:noWrap w:val="0"/>
            <w:vAlign w:val="center"/>
          </w:tcPr>
          <w:p w14:paraId="64EE8CD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35C4BBA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357937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345C93B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6F1D6AD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97C168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5E03ABE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43F098E">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CA9F11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122EDD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F0869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《新能源汽车混合动力系统构造与检修》</w:t>
            </w:r>
          </w:p>
        </w:tc>
        <w:tc>
          <w:tcPr>
            <w:tcW w:w="887" w:type="dxa"/>
            <w:shd w:val="clear" w:color="auto" w:fill="auto"/>
            <w:noWrap w:val="0"/>
            <w:vAlign w:val="center"/>
          </w:tcPr>
          <w:p w14:paraId="5F42353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37997B1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BE5D46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7B51E0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382306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0C7B31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32BC9F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36BBA28">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93DC5B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8F86669">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2C91C2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《新能源汽车驱动系统构造与检修》</w:t>
            </w:r>
          </w:p>
        </w:tc>
        <w:tc>
          <w:tcPr>
            <w:tcW w:w="887" w:type="dxa"/>
            <w:shd w:val="clear" w:color="auto" w:fill="auto"/>
            <w:noWrap w:val="0"/>
            <w:vAlign w:val="center"/>
          </w:tcPr>
          <w:p w14:paraId="733A5A8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A2AE5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360BFD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5AD139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4B655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2B1BC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BEBC94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097EAD7">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4F063A7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B5206A0">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C29CFE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《新能源汽车充电桩系统构造与检修》</w:t>
            </w:r>
          </w:p>
        </w:tc>
        <w:tc>
          <w:tcPr>
            <w:tcW w:w="887" w:type="dxa"/>
            <w:shd w:val="clear" w:color="auto" w:fill="auto"/>
            <w:noWrap w:val="0"/>
            <w:vAlign w:val="center"/>
          </w:tcPr>
          <w:p w14:paraId="767256C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7D347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97CA95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4A51D9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6FB6B4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D4AAB3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149637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556BBDB">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78A8B7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BF4EEF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FA971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《新能源汽车维修接待实务》</w:t>
            </w:r>
          </w:p>
        </w:tc>
        <w:tc>
          <w:tcPr>
            <w:tcW w:w="887" w:type="dxa"/>
            <w:shd w:val="clear" w:color="auto" w:fill="auto"/>
            <w:noWrap w:val="0"/>
            <w:vAlign w:val="center"/>
          </w:tcPr>
          <w:p w14:paraId="20BCFA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62B448F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483B9E2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p>
        </w:tc>
        <w:tc>
          <w:tcPr>
            <w:tcW w:w="599" w:type="dxa"/>
            <w:shd w:val="clear" w:color="auto" w:fill="auto"/>
            <w:noWrap w:val="0"/>
            <w:vAlign w:val="center"/>
          </w:tcPr>
          <w:p w14:paraId="0C3544D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192731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6A18EB2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9EB694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763" w:type="dxa"/>
            <w:vMerge w:val="continue"/>
            <w:noWrap w:val="0"/>
            <w:vAlign w:val="center"/>
          </w:tcPr>
          <w:p w14:paraId="41911CB8">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0FE8422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5011580A">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A8D53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《智能网联汽车技术》</w:t>
            </w:r>
          </w:p>
        </w:tc>
        <w:tc>
          <w:tcPr>
            <w:tcW w:w="887" w:type="dxa"/>
            <w:shd w:val="clear" w:color="auto" w:fill="auto"/>
            <w:noWrap w:val="0"/>
            <w:vAlign w:val="center"/>
          </w:tcPr>
          <w:p w14:paraId="2200417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3471004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471086A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078229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67627E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11A666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F6BFE4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37152F8F">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268A84D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B94683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931107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《新能源汽车整车控制系统检修》</w:t>
            </w:r>
          </w:p>
        </w:tc>
        <w:tc>
          <w:tcPr>
            <w:tcW w:w="887" w:type="dxa"/>
            <w:shd w:val="clear" w:color="auto" w:fill="auto"/>
            <w:noWrap w:val="0"/>
            <w:vAlign w:val="center"/>
          </w:tcPr>
          <w:p w14:paraId="5AE6200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4E7D9DB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25F547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4F6B4C6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44616B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9227AE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A3219E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2D571594">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7E77E70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2260DA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78BC4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《新能源汽车常见故障诊断与排除》</w:t>
            </w:r>
          </w:p>
        </w:tc>
        <w:tc>
          <w:tcPr>
            <w:tcW w:w="887" w:type="dxa"/>
            <w:shd w:val="clear" w:color="auto" w:fill="auto"/>
            <w:noWrap w:val="0"/>
            <w:vAlign w:val="center"/>
          </w:tcPr>
          <w:p w14:paraId="5783BEF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3C4A420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1C53BAB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DD35C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2470BEF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096601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23F86B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05BA7C06">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317BD2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EF778B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bookmarkStart w:id="18" w:name="_Hlk76338214"/>
            <w:bookmarkStart w:id="19" w:name="_Hlk76338159"/>
          </w:p>
        </w:tc>
        <w:tc>
          <w:tcPr>
            <w:tcW w:w="1865" w:type="dxa"/>
            <w:shd w:val="clear" w:color="auto" w:fill="auto"/>
            <w:noWrap w:val="0"/>
            <w:vAlign w:val="center"/>
          </w:tcPr>
          <w:p w14:paraId="742345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专业课</w:t>
            </w:r>
            <w:r>
              <w:rPr>
                <w:rFonts w:hint="eastAsia" w:ascii="仿宋" w:hAnsi="仿宋" w:eastAsia="仿宋" w:cs="仿宋"/>
                <w:b/>
                <w:bCs/>
                <w:kern w:val="0"/>
                <w:sz w:val="18"/>
                <w:szCs w:val="18"/>
                <w:lang w:val="zh-CN" w:eastAsia="zh-CN" w:bidi="ar-SA"/>
              </w:rPr>
              <w:t>小计</w:t>
            </w:r>
          </w:p>
        </w:tc>
        <w:tc>
          <w:tcPr>
            <w:tcW w:w="887" w:type="dxa"/>
            <w:shd w:val="clear" w:color="auto" w:fill="auto"/>
            <w:noWrap w:val="0"/>
            <w:vAlign w:val="center"/>
          </w:tcPr>
          <w:p w14:paraId="2999FB5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144</w:t>
            </w:r>
          </w:p>
        </w:tc>
        <w:tc>
          <w:tcPr>
            <w:tcW w:w="871" w:type="dxa"/>
            <w:shd w:val="clear" w:color="auto" w:fill="auto"/>
            <w:noWrap w:val="0"/>
            <w:vAlign w:val="center"/>
          </w:tcPr>
          <w:p w14:paraId="6BD7AFF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2489</w:t>
            </w:r>
          </w:p>
        </w:tc>
        <w:tc>
          <w:tcPr>
            <w:tcW w:w="645" w:type="dxa"/>
            <w:shd w:val="clear" w:color="auto" w:fill="auto"/>
            <w:noWrap w:val="0"/>
            <w:vAlign w:val="center"/>
          </w:tcPr>
          <w:p w14:paraId="1800AB0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9" w:type="dxa"/>
            <w:shd w:val="clear" w:color="auto" w:fill="auto"/>
            <w:noWrap w:val="0"/>
            <w:vAlign w:val="center"/>
          </w:tcPr>
          <w:p w14:paraId="6FCE8D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5FE8BAB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67F918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B0CFA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05866BCB">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54EBD74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429053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47D15C6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总学时</w:t>
            </w:r>
          </w:p>
        </w:tc>
        <w:tc>
          <w:tcPr>
            <w:tcW w:w="887" w:type="dxa"/>
            <w:shd w:val="clear" w:color="auto" w:fill="auto"/>
            <w:noWrap w:val="0"/>
            <w:vAlign w:val="center"/>
          </w:tcPr>
          <w:p w14:paraId="504105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247</w:t>
            </w:r>
          </w:p>
        </w:tc>
        <w:tc>
          <w:tcPr>
            <w:tcW w:w="871" w:type="dxa"/>
            <w:shd w:val="clear" w:color="auto" w:fill="auto"/>
            <w:noWrap w:val="0"/>
            <w:vAlign w:val="center"/>
          </w:tcPr>
          <w:p w14:paraId="6716F7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4275</w:t>
            </w:r>
          </w:p>
        </w:tc>
        <w:tc>
          <w:tcPr>
            <w:tcW w:w="645" w:type="dxa"/>
            <w:shd w:val="clear" w:color="auto" w:fill="auto"/>
            <w:noWrap w:val="0"/>
            <w:vAlign w:val="center"/>
          </w:tcPr>
          <w:p w14:paraId="33BA80D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9" w:type="dxa"/>
            <w:shd w:val="clear" w:color="auto" w:fill="auto"/>
            <w:noWrap w:val="0"/>
            <w:vAlign w:val="center"/>
          </w:tcPr>
          <w:p w14:paraId="60CB3F3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0CCEFAB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0D0370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3B22F72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183D1AC2">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bookmarkEnd w:id="18"/>
      <w:bookmarkEnd w:id="19"/>
    </w:tbl>
    <w:p w14:paraId="6CD438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7-2</w:t>
      </w:r>
      <w:r>
        <w:rPr>
          <w:rFonts w:hint="eastAsia" w:ascii="仿宋" w:hAnsi="仿宋" w:eastAsia="仿宋" w:cs="仿宋"/>
          <w:kern w:val="0"/>
          <w:sz w:val="24"/>
          <w:szCs w:val="24"/>
        </w:rPr>
        <w:t>教学时间分配（周）</w:t>
      </w:r>
    </w:p>
    <w:tbl>
      <w:tblPr>
        <w:tblStyle w:val="12"/>
        <w:tblW w:w="8120" w:type="dxa"/>
        <w:tblInd w:w="222" w:type="dxa"/>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Layout w:type="fixed"/>
        <w:tblCellMar>
          <w:top w:w="0" w:type="dxa"/>
          <w:left w:w="108" w:type="dxa"/>
          <w:bottom w:w="0" w:type="dxa"/>
          <w:right w:w="108" w:type="dxa"/>
        </w:tblCellMar>
      </w:tblPr>
      <w:tblGrid>
        <w:gridCol w:w="693"/>
        <w:gridCol w:w="800"/>
        <w:gridCol w:w="760"/>
        <w:gridCol w:w="773"/>
        <w:gridCol w:w="760"/>
        <w:gridCol w:w="720"/>
        <w:gridCol w:w="827"/>
        <w:gridCol w:w="733"/>
        <w:gridCol w:w="689"/>
        <w:gridCol w:w="738"/>
        <w:gridCol w:w="627"/>
      </w:tblGrid>
      <w:tr w14:paraId="2ACE4424">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rPr>
          <w:trHeight w:val="955" w:hRule="atLeast"/>
        </w:trPr>
        <w:tc>
          <w:tcPr>
            <w:tcW w:w="693" w:type="dxa"/>
            <w:tcBorders>
              <w:tl2br w:val="nil"/>
              <w:tr2bl w:val="nil"/>
            </w:tcBorders>
            <w:shd w:val="clear" w:color="auto" w:fill="CCDBF1"/>
          </w:tcPr>
          <w:p w14:paraId="0BA0F8F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00" w:type="dxa"/>
            <w:tcBorders>
              <w:tl2br w:val="nil"/>
              <w:tr2bl w:val="nil"/>
            </w:tcBorders>
            <w:shd w:val="clear" w:color="auto" w:fill="CCDBF1"/>
            <w:vAlign w:val="center"/>
          </w:tcPr>
          <w:p w14:paraId="1ED966D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理论教学</w:t>
            </w:r>
          </w:p>
        </w:tc>
        <w:tc>
          <w:tcPr>
            <w:tcW w:w="760" w:type="dxa"/>
            <w:tcBorders>
              <w:tl2br w:val="nil"/>
              <w:tr2bl w:val="nil"/>
            </w:tcBorders>
            <w:shd w:val="clear" w:color="auto" w:fill="CCDBF1"/>
            <w:vAlign w:val="center"/>
          </w:tcPr>
          <w:p w14:paraId="2968FF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实践教学</w:t>
            </w:r>
          </w:p>
        </w:tc>
        <w:tc>
          <w:tcPr>
            <w:tcW w:w="773" w:type="dxa"/>
            <w:tcBorders>
              <w:tl2br w:val="nil"/>
              <w:tr2bl w:val="nil"/>
            </w:tcBorders>
            <w:shd w:val="clear" w:color="auto" w:fill="CCDBF1"/>
            <w:vAlign w:val="center"/>
          </w:tcPr>
          <w:p w14:paraId="6FFDDCC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军训</w:t>
            </w:r>
          </w:p>
        </w:tc>
        <w:tc>
          <w:tcPr>
            <w:tcW w:w="760" w:type="dxa"/>
            <w:tcBorders>
              <w:tl2br w:val="nil"/>
              <w:tr2bl w:val="nil"/>
            </w:tcBorders>
            <w:shd w:val="clear" w:color="auto" w:fill="CCDBF1"/>
            <w:vAlign w:val="center"/>
          </w:tcPr>
          <w:p w14:paraId="4F83029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社会实践</w:t>
            </w:r>
          </w:p>
        </w:tc>
        <w:tc>
          <w:tcPr>
            <w:tcW w:w="720" w:type="dxa"/>
            <w:tcBorders>
              <w:tl2br w:val="nil"/>
              <w:tr2bl w:val="nil"/>
            </w:tcBorders>
            <w:shd w:val="clear" w:color="auto" w:fill="CCDBF1"/>
            <w:vAlign w:val="center"/>
          </w:tcPr>
          <w:p w14:paraId="5CB92C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入学教育</w:t>
            </w:r>
          </w:p>
        </w:tc>
        <w:tc>
          <w:tcPr>
            <w:tcW w:w="827" w:type="dxa"/>
            <w:tcBorders>
              <w:tl2br w:val="nil"/>
              <w:tr2bl w:val="nil"/>
            </w:tcBorders>
            <w:shd w:val="clear" w:color="auto" w:fill="CCDBF1"/>
            <w:vAlign w:val="center"/>
          </w:tcPr>
          <w:p w14:paraId="1E5E341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毕业教育</w:t>
            </w:r>
          </w:p>
        </w:tc>
        <w:tc>
          <w:tcPr>
            <w:tcW w:w="733" w:type="dxa"/>
            <w:tcBorders>
              <w:tl2br w:val="nil"/>
              <w:tr2bl w:val="nil"/>
            </w:tcBorders>
            <w:shd w:val="clear" w:color="auto" w:fill="CCDBF1"/>
            <w:vAlign w:val="center"/>
          </w:tcPr>
          <w:p w14:paraId="2D41642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岗位实习</w:t>
            </w:r>
          </w:p>
        </w:tc>
        <w:tc>
          <w:tcPr>
            <w:tcW w:w="689" w:type="dxa"/>
            <w:tcBorders>
              <w:tl2br w:val="nil"/>
              <w:tr2bl w:val="nil"/>
            </w:tcBorders>
            <w:shd w:val="clear" w:color="auto" w:fill="CCDBF1"/>
            <w:vAlign w:val="center"/>
          </w:tcPr>
          <w:p w14:paraId="5B37FEB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考试</w:t>
            </w:r>
          </w:p>
        </w:tc>
        <w:tc>
          <w:tcPr>
            <w:tcW w:w="738" w:type="dxa"/>
            <w:tcBorders>
              <w:tl2br w:val="nil"/>
              <w:tr2bl w:val="nil"/>
            </w:tcBorders>
            <w:shd w:val="clear" w:color="auto" w:fill="CCDBF1"/>
            <w:vAlign w:val="center"/>
          </w:tcPr>
          <w:p w14:paraId="0A2A39D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假期</w:t>
            </w:r>
          </w:p>
        </w:tc>
        <w:tc>
          <w:tcPr>
            <w:tcW w:w="627" w:type="dxa"/>
            <w:tcBorders>
              <w:tl2br w:val="nil"/>
              <w:tr2bl w:val="nil"/>
            </w:tcBorders>
            <w:shd w:val="clear" w:color="auto" w:fill="CCDBF1"/>
            <w:vAlign w:val="center"/>
          </w:tcPr>
          <w:p w14:paraId="57E5E4F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总计</w:t>
            </w:r>
          </w:p>
        </w:tc>
      </w:tr>
      <w:tr w14:paraId="1D44EE96">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0084EBE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第1学期</w:t>
            </w:r>
          </w:p>
        </w:tc>
        <w:tc>
          <w:tcPr>
            <w:tcW w:w="800" w:type="dxa"/>
            <w:tcBorders>
              <w:tl2br w:val="nil"/>
              <w:tr2bl w:val="nil"/>
            </w:tcBorders>
            <w:vAlign w:val="center"/>
          </w:tcPr>
          <w:p w14:paraId="4CBEB50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60" w:type="dxa"/>
            <w:tcBorders>
              <w:tl2br w:val="nil"/>
              <w:tr2bl w:val="nil"/>
            </w:tcBorders>
            <w:vAlign w:val="center"/>
          </w:tcPr>
          <w:p w14:paraId="74368C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73" w:type="dxa"/>
            <w:tcBorders>
              <w:tl2br w:val="nil"/>
              <w:tr2bl w:val="nil"/>
            </w:tcBorders>
            <w:vAlign w:val="center"/>
          </w:tcPr>
          <w:p w14:paraId="3A07A80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760" w:type="dxa"/>
            <w:tcBorders>
              <w:tl2br w:val="nil"/>
              <w:tr2bl w:val="nil"/>
            </w:tcBorders>
            <w:vAlign w:val="center"/>
          </w:tcPr>
          <w:p w14:paraId="0806BEF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1D900E2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827" w:type="dxa"/>
            <w:tcBorders>
              <w:tl2br w:val="nil"/>
              <w:tr2bl w:val="nil"/>
            </w:tcBorders>
            <w:vAlign w:val="center"/>
          </w:tcPr>
          <w:p w14:paraId="6802D8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733A0E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vAlign w:val="center"/>
          </w:tcPr>
          <w:p w14:paraId="7F83C82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vAlign w:val="center"/>
          </w:tcPr>
          <w:p w14:paraId="4C56A26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63E225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00B000E6">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3F7FD21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第2学期</w:t>
            </w:r>
          </w:p>
        </w:tc>
        <w:tc>
          <w:tcPr>
            <w:tcW w:w="800" w:type="dxa"/>
            <w:tcBorders>
              <w:tl2br w:val="nil"/>
              <w:tr2bl w:val="nil"/>
            </w:tcBorders>
            <w:shd w:val="clear" w:color="auto" w:fill="auto"/>
            <w:vAlign w:val="center"/>
          </w:tcPr>
          <w:p w14:paraId="4A715E1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w:t>
            </w:r>
          </w:p>
        </w:tc>
        <w:tc>
          <w:tcPr>
            <w:tcW w:w="760" w:type="dxa"/>
            <w:tcBorders>
              <w:tl2br w:val="nil"/>
              <w:tr2bl w:val="nil"/>
            </w:tcBorders>
            <w:shd w:val="clear" w:color="auto" w:fill="auto"/>
            <w:vAlign w:val="center"/>
          </w:tcPr>
          <w:p w14:paraId="514D1CC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w:t>
            </w:r>
          </w:p>
        </w:tc>
        <w:tc>
          <w:tcPr>
            <w:tcW w:w="773" w:type="dxa"/>
            <w:tcBorders>
              <w:tl2br w:val="nil"/>
              <w:tr2bl w:val="nil"/>
            </w:tcBorders>
            <w:shd w:val="clear" w:color="auto" w:fill="auto"/>
            <w:vAlign w:val="center"/>
          </w:tcPr>
          <w:p w14:paraId="60084E0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shd w:val="clear" w:color="auto" w:fill="auto"/>
            <w:vAlign w:val="center"/>
          </w:tcPr>
          <w:p w14:paraId="7EE9250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shd w:val="clear" w:color="auto" w:fill="auto"/>
            <w:vAlign w:val="center"/>
          </w:tcPr>
          <w:p w14:paraId="5422791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shd w:val="clear" w:color="auto" w:fill="auto"/>
            <w:vAlign w:val="center"/>
          </w:tcPr>
          <w:p w14:paraId="1011FAE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shd w:val="clear" w:color="auto" w:fill="auto"/>
            <w:vAlign w:val="center"/>
          </w:tcPr>
          <w:p w14:paraId="21CA4C5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485F6FA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52B9B51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198A6B3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2CC7232E">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0F9623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第3学期</w:t>
            </w:r>
          </w:p>
        </w:tc>
        <w:tc>
          <w:tcPr>
            <w:tcW w:w="800" w:type="dxa"/>
            <w:tcBorders>
              <w:tl2br w:val="nil"/>
              <w:tr2bl w:val="nil"/>
            </w:tcBorders>
            <w:vAlign w:val="center"/>
          </w:tcPr>
          <w:p w14:paraId="26AEF9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27A5835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192311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196D162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50B4DC7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17C4914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2962974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7932358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3926DD9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08CA241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642BB030">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44E91C7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第4学期</w:t>
            </w:r>
          </w:p>
        </w:tc>
        <w:tc>
          <w:tcPr>
            <w:tcW w:w="800" w:type="dxa"/>
            <w:tcBorders>
              <w:tl2br w:val="nil"/>
              <w:tr2bl w:val="nil"/>
            </w:tcBorders>
            <w:vAlign w:val="center"/>
          </w:tcPr>
          <w:p w14:paraId="1F3D7B8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504278E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7CD424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0C7D19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3C645E1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124F793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2DDD8A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02A74A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5FCEB2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72B41BC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0060104D">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71DC5C0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第5学期</w:t>
            </w:r>
          </w:p>
        </w:tc>
        <w:tc>
          <w:tcPr>
            <w:tcW w:w="800" w:type="dxa"/>
            <w:tcBorders>
              <w:tl2br w:val="nil"/>
              <w:tr2bl w:val="nil"/>
            </w:tcBorders>
            <w:vAlign w:val="center"/>
          </w:tcPr>
          <w:p w14:paraId="6C698ED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4168E8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4B609CA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64B50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034619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57BAC1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3740CD3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36B901B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410E06F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1BF68CF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36EB43D9">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52D751C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第6学期</w:t>
            </w:r>
          </w:p>
        </w:tc>
        <w:tc>
          <w:tcPr>
            <w:tcW w:w="800" w:type="dxa"/>
            <w:tcBorders>
              <w:tl2br w:val="nil"/>
              <w:tr2bl w:val="nil"/>
            </w:tcBorders>
            <w:vAlign w:val="center"/>
          </w:tcPr>
          <w:p w14:paraId="11905C7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28D9A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73" w:type="dxa"/>
            <w:tcBorders>
              <w:tl2br w:val="nil"/>
              <w:tr2bl w:val="nil"/>
            </w:tcBorders>
            <w:vAlign w:val="center"/>
          </w:tcPr>
          <w:p w14:paraId="490884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2516DD5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5D62740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031A9AD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33" w:type="dxa"/>
            <w:tcBorders>
              <w:tl2br w:val="nil"/>
              <w:tr2bl w:val="nil"/>
            </w:tcBorders>
            <w:vAlign w:val="center"/>
          </w:tcPr>
          <w:p w14:paraId="6F1FAD7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12</w:t>
            </w:r>
          </w:p>
        </w:tc>
        <w:tc>
          <w:tcPr>
            <w:tcW w:w="689" w:type="dxa"/>
            <w:tcBorders>
              <w:tl2br w:val="nil"/>
              <w:tr2bl w:val="nil"/>
            </w:tcBorders>
            <w:vAlign w:val="center"/>
          </w:tcPr>
          <w:p w14:paraId="16C79D8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38" w:type="dxa"/>
            <w:tcBorders>
              <w:tl2br w:val="nil"/>
              <w:tr2bl w:val="nil"/>
            </w:tcBorders>
            <w:vAlign w:val="center"/>
          </w:tcPr>
          <w:p w14:paraId="75F8076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627" w:type="dxa"/>
            <w:tcBorders>
              <w:tl2br w:val="nil"/>
              <w:tr2bl w:val="nil"/>
            </w:tcBorders>
            <w:vAlign w:val="center"/>
          </w:tcPr>
          <w:p w14:paraId="47C0BC2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bl>
    <w:p w14:paraId="1BF06DD5">
      <w:pPr>
        <w:pStyle w:val="2"/>
        <w:bidi w:val="0"/>
        <w:rPr>
          <w:rFonts w:hint="eastAsia"/>
          <w:lang w:val="zh-CN" w:eastAsia="zh-CN"/>
        </w:rPr>
      </w:pPr>
    </w:p>
    <w:p w14:paraId="6CF2D68C">
      <w:pPr>
        <w:pStyle w:val="2"/>
        <w:bidi w:val="0"/>
        <w:rPr>
          <w:rFonts w:hint="eastAsia"/>
          <w:lang w:val="zh-CN" w:eastAsia="zh-CN"/>
        </w:rPr>
      </w:pPr>
      <w:bookmarkStart w:id="20" w:name="_Toc23410"/>
      <w:r>
        <w:rPr>
          <w:rFonts w:hint="eastAsia"/>
          <w:lang w:val="zh-CN" w:eastAsia="zh-CN"/>
        </w:rPr>
        <w:t>八、实施保障</w:t>
      </w:r>
      <w:bookmarkEnd w:id="20"/>
    </w:p>
    <w:p w14:paraId="4B9549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主要包括师资队伍、教学设施、教学资源、教学方法、学习评价、质量管理等方面。</w:t>
      </w:r>
    </w:p>
    <w:p w14:paraId="6D3FA81A">
      <w:pPr>
        <w:pStyle w:val="3"/>
        <w:bidi w:val="0"/>
        <w:rPr>
          <w:rFonts w:hint="eastAsia"/>
          <w:lang w:val="zh-CN" w:eastAsia="zh-CN"/>
        </w:rPr>
      </w:pPr>
      <w:bookmarkStart w:id="21" w:name="_Toc17160"/>
      <w:r>
        <w:rPr>
          <w:rFonts w:hint="eastAsia"/>
          <w:lang w:val="zh-CN" w:eastAsia="zh-CN"/>
        </w:rPr>
        <w:t>（一）师资队伍</w:t>
      </w:r>
      <w:bookmarkEnd w:id="21"/>
    </w:p>
    <w:p w14:paraId="5BDA98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bookmarkStart w:id="22" w:name="_Toc76341449"/>
      <w:bookmarkStart w:id="23" w:name="_Toc76342143"/>
      <w:bookmarkStart w:id="24" w:name="_Toc76340333"/>
      <w:r>
        <w:rPr>
          <w:rFonts w:hint="eastAsia" w:ascii="仿宋" w:hAnsi="仿宋" w:eastAsia="仿宋" w:cs="仿宋"/>
          <w:b w:val="0"/>
          <w:bCs w:val="0"/>
          <w:kern w:val="0"/>
          <w:sz w:val="24"/>
          <w:szCs w:val="24"/>
          <w:lang w:val="zh-CN" w:eastAsia="zh-CN"/>
        </w:rPr>
        <w:t>按照“四有好老师”“四个相统一”“四个引路人”的要求建设专业教师队伍，将师德师风作为教师队伍建设的第一标准。</w:t>
      </w:r>
    </w:p>
    <w:p w14:paraId="32A42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w:t>
      </w:r>
      <w:bookmarkEnd w:id="22"/>
      <w:bookmarkEnd w:id="23"/>
      <w:bookmarkEnd w:id="24"/>
      <w:r>
        <w:rPr>
          <w:rFonts w:hint="eastAsia" w:ascii="仿宋" w:hAnsi="仿宋" w:eastAsia="仿宋" w:cs="仿宋"/>
          <w:b w:val="0"/>
          <w:bCs w:val="0"/>
          <w:kern w:val="0"/>
          <w:sz w:val="24"/>
          <w:szCs w:val="24"/>
          <w:lang w:val="zh-CN" w:eastAsia="zh-CN"/>
        </w:rPr>
        <w:t>队伍结构</w:t>
      </w:r>
    </w:p>
    <w:p w14:paraId="056BD3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本专业师资力量比较雄厚，共配备有1</w:t>
      </w:r>
      <w:r>
        <w:rPr>
          <w:rFonts w:hint="eastAsia" w:ascii="仿宋" w:hAnsi="仿宋" w:eastAsia="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名专任专业教师，</w:t>
      </w:r>
      <w:r>
        <w:rPr>
          <w:rFonts w:hint="eastAsia" w:ascii="仿宋" w:hAnsi="仿宋" w:eastAsia="仿宋" w:cs="仿宋"/>
          <w:b w:val="0"/>
          <w:bCs w:val="0"/>
          <w:kern w:val="0"/>
          <w:sz w:val="24"/>
          <w:szCs w:val="24"/>
          <w:lang w:val="en-US" w:eastAsia="zh-CN"/>
        </w:rPr>
        <w:t>其中</w:t>
      </w:r>
      <w:r>
        <w:rPr>
          <w:rFonts w:hint="eastAsia" w:ascii="仿宋" w:hAnsi="仿宋" w:eastAsia="仿宋" w:cs="仿宋"/>
          <w:b w:val="0"/>
          <w:bCs w:val="0"/>
          <w:kern w:val="0"/>
          <w:sz w:val="24"/>
          <w:szCs w:val="24"/>
          <w:lang w:val="zh-CN" w:eastAsia="zh-CN"/>
        </w:rPr>
        <w:t>专业带头人</w:t>
      </w:r>
      <w:r>
        <w:rPr>
          <w:rFonts w:hint="eastAsia" w:ascii="仿宋" w:hAnsi="仿宋" w:eastAsia="仿宋" w:cs="仿宋"/>
          <w:b w:val="0"/>
          <w:bCs w:val="0"/>
          <w:kern w:val="0"/>
          <w:sz w:val="24"/>
          <w:szCs w:val="24"/>
          <w:lang w:val="en-US" w:eastAsia="zh-CN"/>
        </w:rPr>
        <w:t>1人</w:t>
      </w:r>
      <w:r>
        <w:rPr>
          <w:rFonts w:hint="eastAsia" w:ascii="仿宋" w:hAnsi="仿宋" w:eastAsia="仿宋" w:cs="仿宋"/>
          <w:b w:val="0"/>
          <w:bCs w:val="0"/>
          <w:kern w:val="0"/>
          <w:sz w:val="24"/>
          <w:szCs w:val="24"/>
          <w:lang w:val="zh-CN" w:eastAsia="zh-CN"/>
        </w:rPr>
        <w:t>，市级骨干教师</w:t>
      </w:r>
      <w:r>
        <w:rPr>
          <w:rFonts w:hint="eastAsia" w:ascii="仿宋" w:hAnsi="仿宋" w:eastAsia="仿宋" w:cs="仿宋"/>
          <w:b w:val="0"/>
          <w:bCs w:val="0"/>
          <w:kern w:val="0"/>
          <w:sz w:val="24"/>
          <w:szCs w:val="24"/>
          <w:lang w:val="en-US" w:eastAsia="zh-CN"/>
        </w:rPr>
        <w:t>2人</w:t>
      </w: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副高职称2名，讲师2人，助理讲师7人，</w:t>
      </w:r>
      <w:r>
        <w:rPr>
          <w:rFonts w:hint="eastAsia" w:ascii="仿宋" w:hAnsi="仿宋" w:eastAsia="仿宋" w:cs="仿宋"/>
          <w:b w:val="0"/>
          <w:bCs w:val="0"/>
          <w:kern w:val="0"/>
          <w:sz w:val="24"/>
          <w:szCs w:val="24"/>
          <w:lang w:val="zh-CN" w:eastAsia="zh-CN"/>
        </w:rPr>
        <w:t>双师型教师</w:t>
      </w:r>
      <w:r>
        <w:rPr>
          <w:rFonts w:hint="eastAsia" w:ascii="仿宋" w:hAnsi="仿宋" w:eastAsia="仿宋" w:cs="仿宋"/>
          <w:b w:val="0"/>
          <w:bCs w:val="0"/>
          <w:kern w:val="0"/>
          <w:sz w:val="24"/>
          <w:szCs w:val="24"/>
          <w:lang w:val="en-US" w:eastAsia="zh-CN"/>
        </w:rPr>
        <w:t>13人</w:t>
      </w:r>
      <w:r>
        <w:rPr>
          <w:rFonts w:hint="eastAsia" w:ascii="仿宋" w:hAnsi="仿宋" w:eastAsia="仿宋" w:cs="仿宋"/>
          <w:b w:val="0"/>
          <w:bCs w:val="0"/>
          <w:kern w:val="0"/>
          <w:sz w:val="24"/>
          <w:szCs w:val="24"/>
          <w:lang w:val="zh-CN" w:eastAsia="zh-CN"/>
        </w:rPr>
        <w:t>，形成教学水平高，操作能力强，具有一定科研能力的专兼结合、结构优良的师资团队。</w:t>
      </w:r>
    </w:p>
    <w:p w14:paraId="2B0988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表8-1校内专任教师团队</w:t>
      </w:r>
    </w:p>
    <w:tbl>
      <w:tblPr>
        <w:tblStyle w:val="11"/>
        <w:tblW w:w="8153" w:type="dxa"/>
        <w:jc w:val="center"/>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Layout w:type="fixed"/>
        <w:tblCellMar>
          <w:top w:w="0" w:type="dxa"/>
          <w:left w:w="108" w:type="dxa"/>
          <w:bottom w:w="0" w:type="dxa"/>
          <w:right w:w="108" w:type="dxa"/>
        </w:tblCellMar>
      </w:tblPr>
      <w:tblGrid>
        <w:gridCol w:w="479"/>
        <w:gridCol w:w="905"/>
        <w:gridCol w:w="654"/>
        <w:gridCol w:w="786"/>
        <w:gridCol w:w="1147"/>
        <w:gridCol w:w="1360"/>
        <w:gridCol w:w="1187"/>
        <w:gridCol w:w="1635"/>
      </w:tblGrid>
      <w:tr w14:paraId="15B61B7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7AA614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序号</w:t>
            </w:r>
          </w:p>
        </w:tc>
        <w:tc>
          <w:tcPr>
            <w:tcW w:w="905" w:type="dxa"/>
            <w:shd w:val="clear" w:color="auto" w:fill="BDD6EE"/>
            <w:noWrap w:val="0"/>
            <w:vAlign w:val="center"/>
          </w:tcPr>
          <w:p w14:paraId="797FF74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姓名</w:t>
            </w:r>
          </w:p>
        </w:tc>
        <w:tc>
          <w:tcPr>
            <w:tcW w:w="654" w:type="dxa"/>
            <w:shd w:val="clear" w:color="auto" w:fill="BDD6EE"/>
            <w:noWrap w:val="0"/>
            <w:vAlign w:val="center"/>
          </w:tcPr>
          <w:p w14:paraId="7409332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性别</w:t>
            </w:r>
          </w:p>
        </w:tc>
        <w:tc>
          <w:tcPr>
            <w:tcW w:w="786" w:type="dxa"/>
            <w:shd w:val="clear" w:color="auto" w:fill="BDD6EE"/>
            <w:noWrap w:val="0"/>
            <w:vAlign w:val="center"/>
          </w:tcPr>
          <w:p w14:paraId="24E5E5C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学历学位</w:t>
            </w:r>
          </w:p>
        </w:tc>
        <w:tc>
          <w:tcPr>
            <w:tcW w:w="1147" w:type="dxa"/>
            <w:shd w:val="clear" w:color="auto" w:fill="BDD6EE"/>
            <w:noWrap w:val="0"/>
            <w:vAlign w:val="center"/>
          </w:tcPr>
          <w:p w14:paraId="5D56E19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职称/职务</w:t>
            </w:r>
          </w:p>
        </w:tc>
        <w:tc>
          <w:tcPr>
            <w:tcW w:w="1360" w:type="dxa"/>
            <w:shd w:val="clear" w:color="auto" w:fill="BDD6EE"/>
            <w:noWrap w:val="0"/>
            <w:vAlign w:val="center"/>
          </w:tcPr>
          <w:p w14:paraId="7AB3D36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技能</w:t>
            </w:r>
            <w:r>
              <w:rPr>
                <w:rFonts w:hint="eastAsia" w:ascii="仿宋" w:hAnsi="仿宋" w:eastAsia="仿宋" w:cs="仿宋"/>
                <w:b/>
                <w:bCs/>
                <w:kern w:val="0"/>
                <w:sz w:val="18"/>
                <w:szCs w:val="18"/>
                <w:lang w:val="en-US" w:eastAsia="zh-CN" w:bidi="ar-SA"/>
              </w:rPr>
              <w:t>等级</w:t>
            </w:r>
            <w:r>
              <w:rPr>
                <w:rFonts w:hint="eastAsia" w:ascii="仿宋" w:hAnsi="仿宋" w:eastAsia="仿宋" w:cs="仿宋"/>
                <w:b/>
                <w:bCs/>
                <w:kern w:val="0"/>
                <w:sz w:val="18"/>
                <w:szCs w:val="18"/>
                <w:lang w:val="zh-CN" w:eastAsia="zh-CN" w:bidi="ar-SA"/>
              </w:rPr>
              <w:t>证</w:t>
            </w:r>
          </w:p>
        </w:tc>
        <w:tc>
          <w:tcPr>
            <w:tcW w:w="1187" w:type="dxa"/>
            <w:shd w:val="clear" w:color="auto" w:fill="BDD6EE"/>
            <w:noWrap w:val="0"/>
            <w:vAlign w:val="center"/>
          </w:tcPr>
          <w:p w14:paraId="080175E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双师型教师</w:t>
            </w:r>
          </w:p>
        </w:tc>
        <w:tc>
          <w:tcPr>
            <w:tcW w:w="1635" w:type="dxa"/>
            <w:shd w:val="clear" w:color="auto" w:fill="BDD6EE"/>
            <w:noWrap w:val="0"/>
            <w:vAlign w:val="center"/>
          </w:tcPr>
          <w:p w14:paraId="4C9101D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主要任教课程</w:t>
            </w:r>
          </w:p>
        </w:tc>
      </w:tr>
      <w:tr w14:paraId="03277E53">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142C04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w:t>
            </w:r>
          </w:p>
        </w:tc>
        <w:tc>
          <w:tcPr>
            <w:tcW w:w="905" w:type="dxa"/>
            <w:noWrap w:val="0"/>
            <w:vAlign w:val="center"/>
          </w:tcPr>
          <w:p w14:paraId="352BED8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徐为众</w:t>
            </w:r>
          </w:p>
        </w:tc>
        <w:tc>
          <w:tcPr>
            <w:tcW w:w="654" w:type="dxa"/>
            <w:noWrap w:val="0"/>
            <w:vAlign w:val="center"/>
          </w:tcPr>
          <w:p w14:paraId="728365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noWrap w:val="0"/>
            <w:vAlign w:val="center"/>
          </w:tcPr>
          <w:p w14:paraId="5F1C31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p w14:paraId="60250E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noWrap w:val="0"/>
            <w:vAlign w:val="center"/>
          </w:tcPr>
          <w:p w14:paraId="459407E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w:t>
            </w:r>
            <w:r>
              <w:rPr>
                <w:rFonts w:hint="eastAsia" w:ascii="仿宋" w:hAnsi="仿宋" w:eastAsia="仿宋" w:cs="仿宋"/>
                <w:kern w:val="0"/>
                <w:sz w:val="18"/>
                <w:szCs w:val="18"/>
                <w:lang w:val="zh-CN" w:eastAsia="zh-CN" w:bidi="ar-SA"/>
              </w:rPr>
              <w:t>讲师</w:t>
            </w:r>
            <w:r>
              <w:rPr>
                <w:rFonts w:hint="eastAsia" w:ascii="仿宋" w:hAnsi="仿宋" w:eastAsia="仿宋" w:cs="仿宋"/>
                <w:kern w:val="0"/>
                <w:sz w:val="18"/>
                <w:szCs w:val="18"/>
                <w:lang w:val="en-US" w:eastAsia="zh-CN" w:bidi="ar-SA"/>
              </w:rPr>
              <w:t>/</w:t>
            </w:r>
            <w:r>
              <w:rPr>
                <w:rFonts w:hint="eastAsia" w:ascii="仿宋" w:hAnsi="仿宋" w:eastAsia="仿宋" w:cs="仿宋"/>
                <w:kern w:val="0"/>
                <w:sz w:val="18"/>
                <w:szCs w:val="18"/>
                <w:lang w:val="zh-CN" w:eastAsia="zh-CN" w:bidi="ar-SA"/>
              </w:rPr>
              <w:t>实习实训处主任</w:t>
            </w:r>
          </w:p>
        </w:tc>
        <w:tc>
          <w:tcPr>
            <w:tcW w:w="1360" w:type="dxa"/>
            <w:noWrap w:val="0"/>
            <w:vAlign w:val="center"/>
          </w:tcPr>
          <w:p w14:paraId="527A9E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noWrap w:val="0"/>
            <w:vAlign w:val="center"/>
          </w:tcPr>
          <w:p w14:paraId="4896BA4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中级双师型</w:t>
            </w:r>
          </w:p>
        </w:tc>
        <w:tc>
          <w:tcPr>
            <w:tcW w:w="1635" w:type="dxa"/>
            <w:noWrap w:val="0"/>
            <w:vAlign w:val="center"/>
          </w:tcPr>
          <w:p w14:paraId="55BAA23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《智能网联汽车概论》</w:t>
            </w:r>
          </w:p>
        </w:tc>
      </w:tr>
      <w:tr w14:paraId="003535E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1304005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2</w:t>
            </w:r>
          </w:p>
        </w:tc>
        <w:tc>
          <w:tcPr>
            <w:tcW w:w="905" w:type="dxa"/>
            <w:shd w:val="clear" w:color="auto" w:fill="auto"/>
            <w:noWrap w:val="0"/>
            <w:vAlign w:val="center"/>
          </w:tcPr>
          <w:p w14:paraId="1E62C8E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潘明华</w:t>
            </w:r>
          </w:p>
        </w:tc>
        <w:tc>
          <w:tcPr>
            <w:tcW w:w="654" w:type="dxa"/>
            <w:shd w:val="clear" w:color="auto" w:fill="auto"/>
            <w:noWrap w:val="0"/>
            <w:vAlign w:val="center"/>
          </w:tcPr>
          <w:p w14:paraId="0032F29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65AB3FC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76E334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w:t>
            </w:r>
            <w:r>
              <w:rPr>
                <w:rFonts w:hint="eastAsia" w:ascii="仿宋" w:hAnsi="仿宋" w:eastAsia="仿宋" w:cs="仿宋"/>
                <w:kern w:val="0"/>
                <w:sz w:val="18"/>
                <w:szCs w:val="18"/>
                <w:lang w:val="zh-CN" w:eastAsia="zh-CN" w:bidi="ar-SA"/>
              </w:rPr>
              <w:t>讲师</w:t>
            </w:r>
          </w:p>
        </w:tc>
        <w:tc>
          <w:tcPr>
            <w:tcW w:w="1360" w:type="dxa"/>
            <w:shd w:val="clear" w:color="auto" w:fill="auto"/>
            <w:noWrap w:val="0"/>
            <w:vAlign w:val="center"/>
          </w:tcPr>
          <w:p w14:paraId="0CFB63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shd w:val="clear" w:color="auto" w:fill="auto"/>
            <w:noWrap w:val="0"/>
            <w:vAlign w:val="center"/>
          </w:tcPr>
          <w:p w14:paraId="0A15511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514410D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《新能源汽车概论》</w:t>
            </w:r>
          </w:p>
        </w:tc>
      </w:tr>
      <w:tr w14:paraId="2D9C4A64">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412E1E8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3</w:t>
            </w:r>
          </w:p>
        </w:tc>
        <w:tc>
          <w:tcPr>
            <w:tcW w:w="905" w:type="dxa"/>
            <w:shd w:val="clear" w:color="auto" w:fill="auto"/>
            <w:noWrap w:val="0"/>
            <w:vAlign w:val="center"/>
          </w:tcPr>
          <w:p w14:paraId="0DFC428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汤深飞</w:t>
            </w:r>
          </w:p>
        </w:tc>
        <w:tc>
          <w:tcPr>
            <w:tcW w:w="654" w:type="dxa"/>
            <w:shd w:val="clear" w:color="auto" w:fill="auto"/>
            <w:noWrap w:val="0"/>
            <w:vAlign w:val="center"/>
          </w:tcPr>
          <w:p w14:paraId="307188B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7316E27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EB26A2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r>
              <w:rPr>
                <w:rFonts w:hint="eastAsia" w:ascii="仿宋" w:hAnsi="仿宋" w:eastAsia="仿宋" w:cs="仿宋"/>
                <w:kern w:val="0"/>
                <w:sz w:val="18"/>
                <w:szCs w:val="18"/>
                <w:lang w:val="en-US" w:eastAsia="zh-CN" w:bidi="ar-SA"/>
              </w:rPr>
              <w:t>/汽修教研组组长</w:t>
            </w:r>
          </w:p>
        </w:tc>
        <w:tc>
          <w:tcPr>
            <w:tcW w:w="1360" w:type="dxa"/>
            <w:shd w:val="clear" w:color="auto" w:fill="auto"/>
            <w:noWrap w:val="0"/>
            <w:vAlign w:val="center"/>
          </w:tcPr>
          <w:p w14:paraId="4AF1C197">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w:t>
            </w:r>
            <w:r>
              <w:rPr>
                <w:rFonts w:hint="eastAsia" w:ascii="仿宋" w:hAnsi="仿宋" w:eastAsia="仿宋" w:cs="仿宋"/>
                <w:kern w:val="0"/>
                <w:sz w:val="18"/>
                <w:szCs w:val="18"/>
                <w:lang w:val="en-US" w:eastAsia="zh-CN" w:bidi="ar-SA"/>
              </w:rPr>
              <w:t>高</w:t>
            </w:r>
            <w:r>
              <w:rPr>
                <w:rFonts w:hint="eastAsia" w:ascii="仿宋" w:hAnsi="仿宋" w:eastAsia="仿宋" w:cs="仿宋"/>
                <w:kern w:val="0"/>
                <w:sz w:val="18"/>
                <w:szCs w:val="18"/>
                <w:lang w:val="zh-CN" w:eastAsia="zh-CN" w:bidi="ar-SA"/>
              </w:rPr>
              <w:t>级工</w:t>
            </w:r>
          </w:p>
        </w:tc>
        <w:tc>
          <w:tcPr>
            <w:tcW w:w="1187" w:type="dxa"/>
            <w:shd w:val="clear" w:color="auto" w:fill="auto"/>
            <w:noWrap w:val="0"/>
            <w:vAlign w:val="center"/>
          </w:tcPr>
          <w:p w14:paraId="15C2314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中级双师型</w:t>
            </w:r>
          </w:p>
        </w:tc>
        <w:tc>
          <w:tcPr>
            <w:tcW w:w="1635" w:type="dxa"/>
            <w:shd w:val="clear" w:color="auto" w:fill="auto"/>
            <w:noWrap w:val="0"/>
            <w:vAlign w:val="center"/>
          </w:tcPr>
          <w:p w14:paraId="750BFC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《新能源汽车电气系统构造与检修》、《新能源汽车维护》</w:t>
            </w:r>
          </w:p>
        </w:tc>
      </w:tr>
      <w:tr w14:paraId="7EB872E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57A793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4</w:t>
            </w:r>
          </w:p>
        </w:tc>
        <w:tc>
          <w:tcPr>
            <w:tcW w:w="905" w:type="dxa"/>
            <w:shd w:val="clear" w:color="auto" w:fill="auto"/>
            <w:noWrap w:val="0"/>
            <w:vAlign w:val="center"/>
          </w:tcPr>
          <w:p w14:paraId="009463B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陈梅</w:t>
            </w:r>
          </w:p>
        </w:tc>
        <w:tc>
          <w:tcPr>
            <w:tcW w:w="654" w:type="dxa"/>
            <w:shd w:val="clear" w:color="auto" w:fill="auto"/>
            <w:noWrap w:val="0"/>
            <w:vAlign w:val="center"/>
          </w:tcPr>
          <w:p w14:paraId="0E69800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女</w:t>
            </w:r>
          </w:p>
        </w:tc>
        <w:tc>
          <w:tcPr>
            <w:tcW w:w="786" w:type="dxa"/>
            <w:shd w:val="clear" w:color="auto" w:fill="auto"/>
            <w:noWrap w:val="0"/>
            <w:vAlign w:val="center"/>
          </w:tcPr>
          <w:p w14:paraId="673D7CC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1DC0BFA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讲师</w:t>
            </w:r>
          </w:p>
        </w:tc>
        <w:tc>
          <w:tcPr>
            <w:tcW w:w="1360" w:type="dxa"/>
            <w:shd w:val="clear" w:color="auto" w:fill="auto"/>
            <w:noWrap w:val="0"/>
            <w:vAlign w:val="center"/>
          </w:tcPr>
          <w:p w14:paraId="129BF64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shd w:val="clear" w:color="auto" w:fill="auto"/>
            <w:noWrap w:val="0"/>
            <w:vAlign w:val="center"/>
          </w:tcPr>
          <w:p w14:paraId="06F55D3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中级双师型</w:t>
            </w:r>
          </w:p>
        </w:tc>
        <w:tc>
          <w:tcPr>
            <w:tcW w:w="1635" w:type="dxa"/>
            <w:shd w:val="clear" w:color="auto" w:fill="auto"/>
            <w:noWrap w:val="0"/>
            <w:vAlign w:val="center"/>
          </w:tcPr>
          <w:p w14:paraId="2BBBA51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《汽车维修接待实务》</w:t>
            </w:r>
          </w:p>
        </w:tc>
      </w:tr>
      <w:tr w14:paraId="5BC3432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219337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5</w:t>
            </w:r>
          </w:p>
        </w:tc>
        <w:tc>
          <w:tcPr>
            <w:tcW w:w="905" w:type="dxa"/>
            <w:shd w:val="clear" w:color="auto" w:fill="auto"/>
            <w:noWrap w:val="0"/>
            <w:vAlign w:val="center"/>
          </w:tcPr>
          <w:p w14:paraId="1138161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崔伟</w:t>
            </w:r>
          </w:p>
        </w:tc>
        <w:tc>
          <w:tcPr>
            <w:tcW w:w="654" w:type="dxa"/>
            <w:shd w:val="clear" w:color="auto" w:fill="auto"/>
            <w:noWrap w:val="0"/>
            <w:vAlign w:val="center"/>
          </w:tcPr>
          <w:p w14:paraId="6EC4C23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010C457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12AF5C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7C4A1F0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4351CCB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581B017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《新能源汽车电气系统构造与检修》</w:t>
            </w:r>
          </w:p>
        </w:tc>
      </w:tr>
      <w:tr w14:paraId="44EC45B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7334A1E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6</w:t>
            </w:r>
          </w:p>
        </w:tc>
        <w:tc>
          <w:tcPr>
            <w:tcW w:w="905" w:type="dxa"/>
            <w:shd w:val="clear" w:color="auto" w:fill="auto"/>
            <w:noWrap w:val="0"/>
            <w:vAlign w:val="center"/>
          </w:tcPr>
          <w:p w14:paraId="50418FB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许王勇</w:t>
            </w:r>
          </w:p>
        </w:tc>
        <w:tc>
          <w:tcPr>
            <w:tcW w:w="654" w:type="dxa"/>
            <w:shd w:val="clear" w:color="auto" w:fill="auto"/>
            <w:noWrap w:val="0"/>
            <w:vAlign w:val="center"/>
          </w:tcPr>
          <w:p w14:paraId="14700BA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3CFA7CD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BF54097">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72C87B9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111F49C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0B46D1C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《新能源汽车动力蓄电池系统构造与检修》、《新能源汽车混合动力系统构造与检修》</w:t>
            </w:r>
          </w:p>
        </w:tc>
      </w:tr>
      <w:tr w14:paraId="4D5CB85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637EE1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7</w:t>
            </w:r>
          </w:p>
        </w:tc>
        <w:tc>
          <w:tcPr>
            <w:tcW w:w="905" w:type="dxa"/>
            <w:shd w:val="clear" w:color="auto" w:fill="auto"/>
            <w:noWrap w:val="0"/>
            <w:vAlign w:val="center"/>
          </w:tcPr>
          <w:p w14:paraId="6E0C8A6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毛志伟</w:t>
            </w:r>
          </w:p>
        </w:tc>
        <w:tc>
          <w:tcPr>
            <w:tcW w:w="654" w:type="dxa"/>
            <w:shd w:val="clear" w:color="auto" w:fill="auto"/>
            <w:noWrap w:val="0"/>
            <w:vAlign w:val="center"/>
          </w:tcPr>
          <w:p w14:paraId="111DB45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461990E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72B8240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shd w:val="clear" w:color="auto" w:fill="auto"/>
            <w:noWrap w:val="0"/>
            <w:vAlign w:val="center"/>
          </w:tcPr>
          <w:p w14:paraId="77A93FD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672EE7E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1717372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《新能源汽车常见故障诊断与排除》</w:t>
            </w:r>
          </w:p>
        </w:tc>
      </w:tr>
      <w:tr w14:paraId="3C797D0F">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2060F16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8</w:t>
            </w:r>
          </w:p>
        </w:tc>
        <w:tc>
          <w:tcPr>
            <w:tcW w:w="905" w:type="dxa"/>
            <w:shd w:val="clear" w:color="auto" w:fill="auto"/>
            <w:noWrap w:val="0"/>
            <w:vAlign w:val="center"/>
          </w:tcPr>
          <w:p w14:paraId="203841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程明</w:t>
            </w:r>
          </w:p>
        </w:tc>
        <w:tc>
          <w:tcPr>
            <w:tcW w:w="654" w:type="dxa"/>
            <w:shd w:val="clear" w:color="auto" w:fill="auto"/>
            <w:noWrap w:val="0"/>
            <w:vAlign w:val="center"/>
          </w:tcPr>
          <w:p w14:paraId="332BC6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5936724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FBB94B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讲师</w:t>
            </w:r>
            <w:r>
              <w:rPr>
                <w:rFonts w:hint="eastAsia" w:ascii="仿宋" w:hAnsi="仿宋" w:eastAsia="仿宋" w:cs="仿宋"/>
                <w:kern w:val="0"/>
                <w:sz w:val="18"/>
                <w:szCs w:val="18"/>
                <w:lang w:val="en-US" w:eastAsia="zh-CN" w:bidi="ar-SA"/>
              </w:rPr>
              <w:t>/机电部副主任</w:t>
            </w:r>
          </w:p>
        </w:tc>
        <w:tc>
          <w:tcPr>
            <w:tcW w:w="1360" w:type="dxa"/>
            <w:shd w:val="clear" w:color="auto" w:fill="auto"/>
            <w:noWrap w:val="0"/>
            <w:vAlign w:val="center"/>
          </w:tcPr>
          <w:p w14:paraId="133D20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汽车维修技师</w:t>
            </w:r>
          </w:p>
        </w:tc>
        <w:tc>
          <w:tcPr>
            <w:tcW w:w="1187" w:type="dxa"/>
            <w:shd w:val="clear" w:color="auto" w:fill="auto"/>
            <w:noWrap w:val="0"/>
            <w:vAlign w:val="center"/>
          </w:tcPr>
          <w:p w14:paraId="21051B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25AF53A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《新能源汽车底盘构造与检修》</w:t>
            </w:r>
          </w:p>
        </w:tc>
      </w:tr>
      <w:tr w14:paraId="6196BAD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5ED91F6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9</w:t>
            </w:r>
          </w:p>
        </w:tc>
        <w:tc>
          <w:tcPr>
            <w:tcW w:w="905" w:type="dxa"/>
            <w:shd w:val="clear" w:color="auto" w:fill="auto"/>
            <w:noWrap w:val="0"/>
            <w:vAlign w:val="center"/>
          </w:tcPr>
          <w:p w14:paraId="7BF7B19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王云龙</w:t>
            </w:r>
          </w:p>
        </w:tc>
        <w:tc>
          <w:tcPr>
            <w:tcW w:w="654" w:type="dxa"/>
            <w:shd w:val="clear" w:color="auto" w:fill="auto"/>
            <w:noWrap w:val="0"/>
            <w:vAlign w:val="center"/>
          </w:tcPr>
          <w:p w14:paraId="7888375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32A8E17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5AF0C5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581A9B3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w:t>
            </w:r>
            <w:r>
              <w:rPr>
                <w:rFonts w:hint="eastAsia" w:ascii="仿宋" w:hAnsi="仿宋" w:eastAsia="仿宋" w:cs="仿宋"/>
                <w:kern w:val="0"/>
                <w:sz w:val="18"/>
                <w:szCs w:val="18"/>
                <w:lang w:val="en-US" w:eastAsia="zh-CN" w:bidi="ar-SA"/>
              </w:rPr>
              <w:t>高</w:t>
            </w:r>
            <w:r>
              <w:rPr>
                <w:rFonts w:hint="eastAsia" w:ascii="仿宋" w:hAnsi="仿宋" w:eastAsia="仿宋" w:cs="仿宋"/>
                <w:kern w:val="0"/>
                <w:sz w:val="18"/>
                <w:szCs w:val="18"/>
                <w:lang w:val="zh-CN" w:eastAsia="zh-CN" w:bidi="ar-SA"/>
              </w:rPr>
              <w:t>级工</w:t>
            </w:r>
          </w:p>
        </w:tc>
        <w:tc>
          <w:tcPr>
            <w:tcW w:w="1187" w:type="dxa"/>
            <w:shd w:val="clear" w:color="auto" w:fill="auto"/>
            <w:noWrap w:val="0"/>
            <w:vAlign w:val="center"/>
          </w:tcPr>
          <w:p w14:paraId="722563E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3B5395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《汽车智能共享出行概论》、《汽车保险与理赔》</w:t>
            </w:r>
          </w:p>
        </w:tc>
      </w:tr>
      <w:tr w14:paraId="78C04E5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3DE7F6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10</w:t>
            </w:r>
          </w:p>
        </w:tc>
        <w:tc>
          <w:tcPr>
            <w:tcW w:w="905" w:type="dxa"/>
            <w:shd w:val="clear" w:color="auto" w:fill="auto"/>
            <w:noWrap w:val="0"/>
            <w:vAlign w:val="center"/>
          </w:tcPr>
          <w:p w14:paraId="175D632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焦笑笑</w:t>
            </w:r>
          </w:p>
        </w:tc>
        <w:tc>
          <w:tcPr>
            <w:tcW w:w="654" w:type="dxa"/>
            <w:shd w:val="clear" w:color="auto" w:fill="auto"/>
            <w:noWrap w:val="0"/>
            <w:vAlign w:val="center"/>
          </w:tcPr>
          <w:p w14:paraId="1055DE7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女</w:t>
            </w:r>
          </w:p>
        </w:tc>
        <w:tc>
          <w:tcPr>
            <w:tcW w:w="786" w:type="dxa"/>
            <w:shd w:val="clear" w:color="auto" w:fill="auto"/>
            <w:noWrap w:val="0"/>
            <w:vAlign w:val="center"/>
          </w:tcPr>
          <w:p w14:paraId="5ECDC22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6A3DF63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553D683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743DB8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19D05DB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《汽车维修接待实务》、《汽车检测标准与法规》</w:t>
            </w:r>
          </w:p>
        </w:tc>
      </w:tr>
      <w:tr w14:paraId="4FE9807F">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01592E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11</w:t>
            </w:r>
          </w:p>
        </w:tc>
        <w:tc>
          <w:tcPr>
            <w:tcW w:w="905" w:type="dxa"/>
            <w:shd w:val="clear" w:color="auto" w:fill="auto"/>
            <w:noWrap w:val="0"/>
            <w:vAlign w:val="center"/>
          </w:tcPr>
          <w:p w14:paraId="7CEC6B9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彭庆华</w:t>
            </w:r>
          </w:p>
        </w:tc>
        <w:tc>
          <w:tcPr>
            <w:tcW w:w="654" w:type="dxa"/>
            <w:shd w:val="clear" w:color="auto" w:fill="auto"/>
            <w:noWrap w:val="0"/>
            <w:vAlign w:val="center"/>
          </w:tcPr>
          <w:p w14:paraId="439746C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男</w:t>
            </w:r>
          </w:p>
        </w:tc>
        <w:tc>
          <w:tcPr>
            <w:tcW w:w="786" w:type="dxa"/>
            <w:shd w:val="clear" w:color="auto" w:fill="auto"/>
            <w:noWrap w:val="0"/>
            <w:vAlign w:val="center"/>
          </w:tcPr>
          <w:p w14:paraId="37B390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本科</w:t>
            </w:r>
          </w:p>
        </w:tc>
        <w:tc>
          <w:tcPr>
            <w:tcW w:w="1147" w:type="dxa"/>
            <w:shd w:val="clear" w:color="auto" w:fill="auto"/>
            <w:noWrap w:val="0"/>
            <w:vAlign w:val="center"/>
          </w:tcPr>
          <w:p w14:paraId="6DC31EA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36BE9C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0575F00D">
            <w:pPr>
              <w:keepNext w:val="0"/>
              <w:keepLines w:val="0"/>
              <w:pageBreakBefore w:val="0"/>
              <w:widowControl/>
              <w:tabs>
                <w:tab w:val="left" w:pos="426"/>
                <w:tab w:val="left" w:pos="598"/>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1665623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《新能源汽车驱动系统构造与检修》、《新能源汽车充电桩系统构造与检修》</w:t>
            </w:r>
          </w:p>
        </w:tc>
      </w:tr>
      <w:tr w14:paraId="2FFAD3D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299AF52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12</w:t>
            </w:r>
          </w:p>
        </w:tc>
        <w:tc>
          <w:tcPr>
            <w:tcW w:w="905" w:type="dxa"/>
            <w:shd w:val="clear" w:color="auto" w:fill="auto"/>
            <w:noWrap w:val="0"/>
            <w:vAlign w:val="center"/>
          </w:tcPr>
          <w:p w14:paraId="504E295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李加威</w:t>
            </w:r>
          </w:p>
        </w:tc>
        <w:tc>
          <w:tcPr>
            <w:tcW w:w="654" w:type="dxa"/>
            <w:shd w:val="clear" w:color="auto" w:fill="auto"/>
            <w:noWrap w:val="0"/>
            <w:vAlign w:val="center"/>
          </w:tcPr>
          <w:p w14:paraId="6B320E2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男</w:t>
            </w:r>
          </w:p>
        </w:tc>
        <w:tc>
          <w:tcPr>
            <w:tcW w:w="786" w:type="dxa"/>
            <w:shd w:val="clear" w:color="auto" w:fill="auto"/>
            <w:noWrap w:val="0"/>
            <w:vAlign w:val="center"/>
          </w:tcPr>
          <w:p w14:paraId="43995A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本科</w:t>
            </w:r>
          </w:p>
        </w:tc>
        <w:tc>
          <w:tcPr>
            <w:tcW w:w="1147" w:type="dxa"/>
            <w:shd w:val="clear" w:color="auto" w:fill="auto"/>
            <w:noWrap w:val="0"/>
            <w:vAlign w:val="center"/>
          </w:tcPr>
          <w:p w14:paraId="691348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助理讲师</w:t>
            </w:r>
          </w:p>
        </w:tc>
        <w:tc>
          <w:tcPr>
            <w:tcW w:w="1360" w:type="dxa"/>
            <w:shd w:val="clear" w:color="auto" w:fill="auto"/>
            <w:noWrap w:val="0"/>
            <w:vAlign w:val="center"/>
          </w:tcPr>
          <w:p w14:paraId="016716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3425DAC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3FFFC17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《汽车配件管理》</w:t>
            </w:r>
          </w:p>
        </w:tc>
      </w:tr>
      <w:tr w14:paraId="53823B9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12B5D4C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13</w:t>
            </w:r>
          </w:p>
        </w:tc>
        <w:tc>
          <w:tcPr>
            <w:tcW w:w="905" w:type="dxa"/>
            <w:noWrap w:val="0"/>
            <w:vAlign w:val="center"/>
          </w:tcPr>
          <w:p w14:paraId="5541BC4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卞福强</w:t>
            </w:r>
          </w:p>
        </w:tc>
        <w:tc>
          <w:tcPr>
            <w:tcW w:w="654" w:type="dxa"/>
            <w:noWrap w:val="0"/>
            <w:vAlign w:val="center"/>
          </w:tcPr>
          <w:p w14:paraId="3DF5467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男</w:t>
            </w:r>
          </w:p>
        </w:tc>
        <w:tc>
          <w:tcPr>
            <w:tcW w:w="786" w:type="dxa"/>
            <w:noWrap w:val="0"/>
            <w:vAlign w:val="center"/>
          </w:tcPr>
          <w:p w14:paraId="731898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本科</w:t>
            </w:r>
          </w:p>
        </w:tc>
        <w:tc>
          <w:tcPr>
            <w:tcW w:w="1147" w:type="dxa"/>
            <w:noWrap w:val="0"/>
            <w:vAlign w:val="center"/>
          </w:tcPr>
          <w:p w14:paraId="3530FEE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noWrap w:val="0"/>
            <w:vAlign w:val="center"/>
          </w:tcPr>
          <w:p w14:paraId="227934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noWrap w:val="0"/>
            <w:vAlign w:val="center"/>
          </w:tcPr>
          <w:p w14:paraId="23F35A3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noWrap w:val="0"/>
            <w:vAlign w:val="center"/>
          </w:tcPr>
          <w:p w14:paraId="4D78AC1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《新能源汽车电力电子基础》</w:t>
            </w:r>
          </w:p>
        </w:tc>
      </w:tr>
      <w:tr w14:paraId="13E87BB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533507A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14</w:t>
            </w:r>
          </w:p>
        </w:tc>
        <w:tc>
          <w:tcPr>
            <w:tcW w:w="905" w:type="dxa"/>
            <w:shd w:val="clear" w:color="auto" w:fill="auto"/>
            <w:noWrap w:val="0"/>
            <w:vAlign w:val="center"/>
          </w:tcPr>
          <w:p w14:paraId="4CCC9BD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刘明龙</w:t>
            </w:r>
          </w:p>
        </w:tc>
        <w:tc>
          <w:tcPr>
            <w:tcW w:w="654" w:type="dxa"/>
            <w:shd w:val="clear" w:color="auto" w:fill="auto"/>
            <w:noWrap w:val="0"/>
            <w:vAlign w:val="center"/>
          </w:tcPr>
          <w:p w14:paraId="3EC6722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63C067E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6E6FD44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shd w:val="clear" w:color="auto" w:fill="auto"/>
            <w:noWrap w:val="0"/>
            <w:vAlign w:val="center"/>
          </w:tcPr>
          <w:p w14:paraId="1D4326E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29DC6C6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635" w:type="dxa"/>
            <w:shd w:val="clear" w:color="auto" w:fill="auto"/>
            <w:noWrap w:val="0"/>
            <w:vAlign w:val="center"/>
          </w:tcPr>
          <w:p w14:paraId="5973CFA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《汽车配件管理》</w:t>
            </w:r>
          </w:p>
        </w:tc>
      </w:tr>
    </w:tbl>
    <w:p w14:paraId="539CDC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专业带头人</w:t>
      </w:r>
    </w:p>
    <w:p w14:paraId="5EA6AE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本专业拥有专业带头人1人，</w:t>
      </w:r>
      <w:r>
        <w:rPr>
          <w:rFonts w:hint="eastAsia" w:ascii="仿宋" w:hAnsi="仿宋" w:eastAsia="仿宋" w:cs="仿宋"/>
          <w:b w:val="0"/>
          <w:bCs w:val="0"/>
          <w:kern w:val="0"/>
          <w:sz w:val="24"/>
          <w:szCs w:val="24"/>
          <w:lang w:val="zh-CN" w:eastAsia="zh-CN"/>
        </w:rPr>
        <w:t>具有本专业副高职称和较强的实践能力，能广泛联系行业企业，了解国内外汽车维修行业发展新趋势，准确把握行业企业用人需求，具有组织开展专业建设、教科研工作和企业服务的能力，在本专业改革发展中起引领作用。</w:t>
      </w:r>
    </w:p>
    <w:p w14:paraId="0C772A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3.专任教师</w:t>
      </w:r>
    </w:p>
    <w:p w14:paraId="6BDF4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本专业拥有专任教师14人，均</w:t>
      </w:r>
      <w:r>
        <w:rPr>
          <w:rFonts w:hint="eastAsia" w:ascii="仿宋" w:hAnsi="仿宋" w:eastAsia="仿宋" w:cs="仿宋"/>
          <w:b w:val="0"/>
          <w:bCs w:val="0"/>
          <w:kern w:val="0"/>
          <w:sz w:val="24"/>
          <w:szCs w:val="24"/>
          <w:lang w:val="zh-CN" w:eastAsia="zh-CN"/>
        </w:rPr>
        <w:t>具有教师资格证书；具有汽车服务工程、新能源汽车工程、汽车服务工程技术、新能源汽车工程技术等相关专业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社会服务；专业教师每年至少1个月在企业或生产性实训基地锻炼，每5年累计不少于6个月的企业实践经历。</w:t>
      </w:r>
    </w:p>
    <w:p w14:paraId="41B34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4.兼职教师</w:t>
      </w:r>
    </w:p>
    <w:p w14:paraId="79D1E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本专业聘任兼职教师1人，汽车维修高级工，具有扎实的专业知识和丰富的实际工作经验，了解教育教学规律，承担专业课程教学、实习实训指导和学生职业发展规划指导等专业教学任务。</w:t>
      </w:r>
    </w:p>
    <w:p w14:paraId="2945F4DA">
      <w:pPr>
        <w:pStyle w:val="3"/>
        <w:bidi w:val="0"/>
        <w:rPr>
          <w:rFonts w:hint="eastAsia"/>
          <w:lang w:val="zh-CN" w:eastAsia="zh-CN"/>
        </w:rPr>
      </w:pPr>
      <w:bookmarkStart w:id="25" w:name="_Toc9811"/>
      <w:r>
        <w:rPr>
          <w:rFonts w:hint="eastAsia"/>
          <w:lang w:val="zh-CN" w:eastAsia="zh-CN"/>
        </w:rPr>
        <w:t>（二）教学设施</w:t>
      </w:r>
      <w:bookmarkEnd w:id="25"/>
    </w:p>
    <w:p w14:paraId="1DAE42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）校内实训条件</w:t>
      </w:r>
    </w:p>
    <w:p w14:paraId="218E13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①</w:t>
      </w:r>
      <w:r>
        <w:rPr>
          <w:rFonts w:hint="eastAsia" w:ascii="仿宋" w:hAnsi="仿宋" w:eastAsia="仿宋" w:cs="仿宋"/>
          <w:b w:val="0"/>
          <w:bCs w:val="0"/>
          <w:kern w:val="0"/>
          <w:sz w:val="24"/>
          <w:szCs w:val="24"/>
          <w:lang w:val="zh-CN" w:eastAsia="zh-CN"/>
        </w:rPr>
        <w:t>基地概况</w:t>
      </w:r>
    </w:p>
    <w:p w14:paraId="5664A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专业实训基地建于2012年，有1</w:t>
      </w:r>
      <w:r>
        <w:rPr>
          <w:rFonts w:hint="eastAsia" w:ascii="仿宋" w:hAnsi="仿宋" w:eastAsia="仿宋" w:cs="仿宋"/>
          <w:b w:val="0"/>
          <w:bCs w:val="0"/>
          <w:kern w:val="0"/>
          <w:sz w:val="24"/>
          <w:szCs w:val="24"/>
          <w:lang w:val="en-US" w:eastAsia="zh-CN"/>
        </w:rPr>
        <w:t>9</w:t>
      </w:r>
      <w:r>
        <w:rPr>
          <w:rFonts w:hint="eastAsia" w:ascii="仿宋" w:hAnsi="仿宋" w:eastAsia="仿宋" w:cs="仿宋"/>
          <w:b w:val="0"/>
          <w:bCs w:val="0"/>
          <w:kern w:val="0"/>
          <w:sz w:val="24"/>
          <w:szCs w:val="24"/>
          <w:lang w:val="zh-CN" w:eastAsia="zh-CN"/>
        </w:rPr>
        <w:t>个实训室，实训设备</w:t>
      </w:r>
      <w:r>
        <w:rPr>
          <w:rFonts w:hint="eastAsia" w:ascii="仿宋" w:hAnsi="仿宋" w:eastAsia="仿宋" w:cs="仿宋"/>
          <w:b w:val="0"/>
          <w:bCs w:val="0"/>
          <w:kern w:val="0"/>
          <w:sz w:val="24"/>
          <w:szCs w:val="24"/>
          <w:lang w:val="en-US" w:eastAsia="zh-CN"/>
        </w:rPr>
        <w:t>近700</w:t>
      </w:r>
      <w:r>
        <w:rPr>
          <w:rFonts w:hint="eastAsia" w:ascii="仿宋" w:hAnsi="仿宋" w:eastAsia="仿宋" w:cs="仿宋"/>
          <w:b w:val="0"/>
          <w:bCs w:val="0"/>
          <w:kern w:val="0"/>
          <w:sz w:val="24"/>
          <w:szCs w:val="24"/>
          <w:lang w:val="zh-CN" w:eastAsia="zh-CN"/>
        </w:rPr>
        <w:t>台（套），设备总值达到800万元，预期建筑面积将达到1180m</w:t>
      </w:r>
      <w:r>
        <w:rPr>
          <w:rFonts w:hint="eastAsia" w:ascii="仿宋" w:hAnsi="仿宋" w:eastAsia="仿宋" w:cs="仿宋"/>
          <w:b w:val="0"/>
          <w:bCs w:val="0"/>
          <w:kern w:val="0"/>
          <w:sz w:val="24"/>
          <w:szCs w:val="24"/>
          <w:vertAlign w:val="superscript"/>
          <w:lang w:val="zh-CN" w:eastAsia="zh-CN"/>
        </w:rPr>
        <w:t>2</w:t>
      </w:r>
      <w:r>
        <w:rPr>
          <w:rFonts w:hint="eastAsia" w:ascii="仿宋" w:hAnsi="仿宋" w:eastAsia="仿宋" w:cs="仿宋"/>
          <w:b w:val="0"/>
          <w:bCs w:val="0"/>
          <w:kern w:val="0"/>
          <w:sz w:val="24"/>
          <w:szCs w:val="24"/>
          <w:lang w:val="zh-CN" w:eastAsia="zh-CN"/>
        </w:rPr>
        <w:t>，设备总值达到1000万元。现已能开设16个实训项目，达到了300个实训工位，实训管理机构健全，责任明确，实训运行正常，管理资料齐全。</w:t>
      </w:r>
    </w:p>
    <w:p w14:paraId="609B20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②</w:t>
      </w:r>
      <w:r>
        <w:rPr>
          <w:rFonts w:hint="eastAsia" w:ascii="仿宋" w:hAnsi="仿宋" w:eastAsia="仿宋" w:cs="仿宋"/>
          <w:b w:val="0"/>
          <w:bCs w:val="0"/>
          <w:kern w:val="0"/>
          <w:sz w:val="24"/>
          <w:szCs w:val="24"/>
          <w:lang w:val="zh-CN" w:eastAsia="zh-CN"/>
        </w:rPr>
        <w:t>实训室概况</w:t>
      </w:r>
    </w:p>
    <w:p w14:paraId="0349C3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bookmarkStart w:id="26" w:name="_Toc76340337"/>
      <w:bookmarkStart w:id="27" w:name="_Toc76341453"/>
      <w:bookmarkStart w:id="28" w:name="_Toc76342147"/>
      <w:r>
        <w:rPr>
          <w:rFonts w:hint="eastAsia" w:ascii="仿宋" w:hAnsi="仿宋" w:eastAsia="仿宋" w:cs="仿宋"/>
          <w:b w:val="0"/>
          <w:bCs w:val="0"/>
          <w:kern w:val="0"/>
          <w:sz w:val="24"/>
          <w:szCs w:val="24"/>
          <w:lang w:val="en-US" w:eastAsia="zh-CN"/>
        </w:rPr>
        <w:t>新能源汽车运用与维修专业需建成以下实训室：</w:t>
      </w:r>
    </w:p>
    <w:p w14:paraId="17648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1.电工电子基础实训中心建设</w:t>
      </w:r>
    </w:p>
    <w:p w14:paraId="0A61A4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电工电子实训模块配有汽车电工电子基础智能教学平台，汽车电</w:t>
      </w:r>
    </w:p>
    <w:p w14:paraId="2B81F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工电子基础智能教学平台可完成元器件结构认知，根据电路图搭建电路及电路的分析与数据检测，熟悉汽车电气控制线路，二极管，三极管，正弦振荡电路，DC-DC，DC-AC实验等。适用于基础串并联电路、新能源汽车核心电路及电工电子基础训练。可完成基础串并联电路、新能源汽车核心电路及非专业班级电路基础训练任务。</w:t>
      </w:r>
    </w:p>
    <w:p w14:paraId="2447DE4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715385" cy="2252980"/>
            <wp:effectExtent l="0" t="0" r="571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715385" cy="2252980"/>
                    </a:xfrm>
                    <a:prstGeom prst="rect">
                      <a:avLst/>
                    </a:prstGeom>
                    <a:noFill/>
                    <a:ln>
                      <a:noFill/>
                    </a:ln>
                  </pic:spPr>
                </pic:pic>
              </a:graphicData>
            </a:graphic>
          </wp:inline>
        </w:drawing>
      </w:r>
    </w:p>
    <w:p w14:paraId="15687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2.动力电池及管理系统检修实训中心建设</w:t>
      </w:r>
    </w:p>
    <w:p w14:paraId="73D83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围绕新能源汽车核心，电池、电机、充电，开展装调与测试、性</w:t>
      </w:r>
    </w:p>
    <w:p w14:paraId="70867C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能试验、故障诊断共三大方面的教学训练的硬件平台，配套了系列性数字化教学资源，包括课件、实训工单、微课、操作视频、虚拟训练软件等，为新能源汽车不同类型院校与专业提供重点切合、功能全面、使用便捷的软硬结合教学产品。</w:t>
      </w:r>
    </w:p>
    <w:p w14:paraId="268F9B7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678680" cy="2456815"/>
            <wp:effectExtent l="0" t="0" r="762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678680" cy="2456815"/>
                    </a:xfrm>
                    <a:prstGeom prst="rect">
                      <a:avLst/>
                    </a:prstGeom>
                    <a:noFill/>
                    <a:ln>
                      <a:noFill/>
                    </a:ln>
                  </pic:spPr>
                </pic:pic>
              </a:graphicData>
            </a:graphic>
          </wp:inline>
        </w:drawing>
      </w:r>
    </w:p>
    <w:p w14:paraId="3AE5C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动力电池及管理系统检修实训模块配有动力电池装调与测试智</w:t>
      </w:r>
    </w:p>
    <w:p w14:paraId="57353E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慧教学平台，集动力电池装配与测试、故障设置与检测、电池充放电、密封测试、动力电池与驱动电机、充电桩联动测试等功能，通过还原实车动力电池的运行场景，使学员掌握动力电池结构原理、充放电原理、电路原理、拆装技巧与流程、电池包与单体电池测试方法、故障检测与排除方法等新能源汽车动力电池装配、调试、测试、故障检测多项能力学习。</w:t>
      </w:r>
    </w:p>
    <w:p w14:paraId="1568B8B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60925" cy="2193290"/>
            <wp:effectExtent l="0" t="0" r="317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4860925" cy="2193290"/>
                    </a:xfrm>
                    <a:prstGeom prst="rect">
                      <a:avLst/>
                    </a:prstGeom>
                    <a:noFill/>
                    <a:ln>
                      <a:noFill/>
                    </a:ln>
                  </pic:spPr>
                </pic:pic>
              </a:graphicData>
            </a:graphic>
          </wp:inline>
        </w:drawing>
      </w:r>
    </w:p>
    <w:p w14:paraId="7039A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3.驱动电机及控制系统检修实训中心建设</w:t>
      </w:r>
    </w:p>
    <w:p w14:paraId="2DF8E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驱动电机装调与测试智慧教学平台，集成驱动电机结构原理认知、装调、测试、故障检修多功能为—体，配套智慧教学平台及数字化教学资源、专属工具套装为一体的一站式教学平台，可提升学生关于驱动电机装配与调试能力，首次实现永磁同步电机的可拆装，可进行驱动电机的装配与调试、前后端盖的安装与紧固、定子转子的分装、旋变传感器的安装与调零、转子磁感应强度测量、转子同轴度测量等学生能力培养。</w:t>
      </w:r>
    </w:p>
    <w:p w14:paraId="2175E97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370070" cy="2091055"/>
            <wp:effectExtent l="0" t="0" r="11430"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4370070" cy="2091055"/>
                    </a:xfrm>
                    <a:prstGeom prst="rect">
                      <a:avLst/>
                    </a:prstGeom>
                    <a:noFill/>
                    <a:ln>
                      <a:noFill/>
                    </a:ln>
                  </pic:spPr>
                </pic:pic>
              </a:graphicData>
            </a:graphic>
          </wp:inline>
        </w:drawing>
      </w:r>
    </w:p>
    <w:p w14:paraId="721F12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4.交流充电及控制系统检修实训中心建设</w:t>
      </w:r>
    </w:p>
    <w:p w14:paraId="0129A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交流充电桩装调与测试智慧教学平台，突破性实现CPU控制模块内部电子元器件的数据测量与故障设置、诊断、排除，电流、信号、电线长度等参数设计完全以国家标准为依据故障设置与诊断类型多样，可短路、断路、虚接、CPU控制模块电阻信号改变多类型故障，创新实现充电整个过程的电流等参数、充电原理实现全程可检测与全程可展示，训练学生AC控制盒的装配与测量，交流充电桩各个零部件的装配与调试。提升学生对交流充电桩的装配与调试能力。</w:t>
      </w:r>
    </w:p>
    <w:p w14:paraId="68B9890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497070" cy="1720215"/>
            <wp:effectExtent l="0" t="0" r="11430"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4497070" cy="1720215"/>
                    </a:xfrm>
                    <a:prstGeom prst="rect">
                      <a:avLst/>
                    </a:prstGeom>
                    <a:noFill/>
                    <a:ln>
                      <a:noFill/>
                    </a:ln>
                  </pic:spPr>
                </pic:pic>
              </a:graphicData>
            </a:graphic>
          </wp:inline>
        </w:drawing>
      </w:r>
    </w:p>
    <w:p w14:paraId="743470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5.新能源纯电动汽车整车控制实训中心建设</w:t>
      </w:r>
    </w:p>
    <w:p w14:paraId="3BCEA8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主要围绕整车控制逻辑，能够熟练地进行纯电动车的维护保养，线路检修，故障排除。方便老师分模块清晰地对新能源汽车进行演示讲解。</w:t>
      </w:r>
    </w:p>
    <w:p w14:paraId="2891FBB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5035550" cy="3219450"/>
            <wp:effectExtent l="0" t="0" r="6350"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035550" cy="3219450"/>
                    </a:xfrm>
                    <a:prstGeom prst="rect">
                      <a:avLst/>
                    </a:prstGeom>
                    <a:noFill/>
                    <a:ln>
                      <a:noFill/>
                    </a:ln>
                  </pic:spPr>
                </pic:pic>
              </a:graphicData>
            </a:graphic>
          </wp:inline>
        </w:drawing>
      </w:r>
    </w:p>
    <w:p w14:paraId="5961CD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用于整车的性能测试，设备包含自由滚筒、试验台台体，配合车辆使用可以进行车辆动力系统的动态试验，与整车系统智能测试与诊断智慧教学平台配合使用可进行整车动态数据测量与故障诊断，用于汽车动态试验教学、汽车动态数据测量与分析教学。</w:t>
      </w:r>
    </w:p>
    <w:p w14:paraId="390E79D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426585" cy="2922905"/>
            <wp:effectExtent l="0" t="0" r="5715"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426585" cy="2922905"/>
                    </a:xfrm>
                    <a:prstGeom prst="rect">
                      <a:avLst/>
                    </a:prstGeom>
                    <a:noFill/>
                    <a:ln>
                      <a:noFill/>
                    </a:ln>
                  </pic:spPr>
                </pic:pic>
              </a:graphicData>
            </a:graphic>
          </wp:inline>
        </w:drawing>
      </w:r>
    </w:p>
    <w:p w14:paraId="19B8EF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6.新能源纯电动汽车分控联动测试系统实训中心建设</w:t>
      </w:r>
    </w:p>
    <w:p w14:paraId="59F20F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围绕纯电动汽车教学原车拆解，组成独立的功能模块，各功能模块既可连起来像整车一样协同工作，直观展示各系统结构及功能，如动力电池管理系统、电机系统、电控系统、空调系统、车身电气系统等。实现整车各模块教学，学生通过学习能够更加清晰地了解纯电动汽车各部件的运转工况，与分控联动测试智慧教学平台需要新能源汽车整车电气及底盘教学平台、新能源汽车实车三电集成一体化教学平台、新能源汽车实车动力电池一体化教学平台组合联动使用，满足新能源整车数据采集、整车结构认知、拆装检测、故障设置、能源传输等功能。</w:t>
      </w:r>
    </w:p>
    <w:p w14:paraId="47097B5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24730" cy="191833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rcRect t="6556" r="1657" b="24440"/>
                    <a:stretch>
                      <a:fillRect/>
                    </a:stretch>
                  </pic:blipFill>
                  <pic:spPr>
                    <a:xfrm>
                      <a:off x="0" y="0"/>
                      <a:ext cx="4824730" cy="1918335"/>
                    </a:xfrm>
                    <a:prstGeom prst="rect">
                      <a:avLst/>
                    </a:prstGeom>
                    <a:noFill/>
                    <a:ln>
                      <a:noFill/>
                    </a:ln>
                  </pic:spPr>
                </pic:pic>
              </a:graphicData>
            </a:graphic>
          </wp:inline>
        </w:drawing>
      </w:r>
    </w:p>
    <w:p w14:paraId="279DF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7.新能源混动汽车整车控制实训中心建设</w:t>
      </w:r>
    </w:p>
    <w:p w14:paraId="0F8FA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可完成整车高压系统、车载网络系统等的原理认知、数据检测及</w:t>
      </w:r>
    </w:p>
    <w:p w14:paraId="1CFBCD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实训考核项目。汽车混合动力实训中心建设面向新能源汽车技术、汽车工程等专业建设的现代化实践教学平台，专注于混合动力汽车（HEV/PHEV）的结构原理、故障诊断、维护保养等核心技能的培养。实训室配备先进的混合动力系统教具、教学软件及实车设备，为学生和行业人员提供沉浸式的学习环境。</w:t>
      </w:r>
    </w:p>
    <w:p w14:paraId="4278E30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506470" cy="1599565"/>
            <wp:effectExtent l="0" t="0" r="11430"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3506470" cy="1599565"/>
                    </a:xfrm>
                    <a:prstGeom prst="rect">
                      <a:avLst/>
                    </a:prstGeom>
                    <a:noFill/>
                    <a:ln>
                      <a:noFill/>
                    </a:ln>
                  </pic:spPr>
                </pic:pic>
              </a:graphicData>
            </a:graphic>
          </wp:inline>
        </w:drawing>
      </w:r>
    </w:p>
    <w:p w14:paraId="5055EE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依据混合动力汽车发动机结构原理，结合汽车维修职业教育教学需求，该装调台可满足学生掌握混合动力发动机结构认知、混合动力发动机检测、混合动力发动机与传统发动机的区别认知。使学生了解混合动力发动机总成拆解、间隙测量、装配安装、性能检测等。</w:t>
      </w:r>
    </w:p>
    <w:p w14:paraId="54D295D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376420" cy="2202180"/>
            <wp:effectExtent l="0" t="0" r="5080"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4376420" cy="2202180"/>
                    </a:xfrm>
                    <a:prstGeom prst="rect">
                      <a:avLst/>
                    </a:prstGeom>
                    <a:noFill/>
                    <a:ln>
                      <a:noFill/>
                    </a:ln>
                  </pic:spPr>
                </pic:pic>
              </a:graphicData>
            </a:graphic>
          </wp:inline>
        </w:drawing>
      </w:r>
    </w:p>
    <w:p w14:paraId="73834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8.智能网联基础教学实训中心建设</w:t>
      </w:r>
    </w:p>
    <w:p w14:paraId="305C3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采用智慧教室结构，依据教学及校园信息化建设需要，教学管理平台私有化部署，承担智能网联汽车相专业基础课程教学任务，满足对智能网联汽车基础教学、线上实验、考试评价及教师课程研发等功能，实现优质教学资源共享，带动教学方法、教学理念及学习方式的改变，激发学生学习兴趣，提高教学效率和质量。</w:t>
      </w:r>
    </w:p>
    <w:p w14:paraId="5BDF315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40605" cy="2049780"/>
            <wp:effectExtent l="0" t="0" r="10795"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4840605" cy="2049780"/>
                    </a:xfrm>
                    <a:prstGeom prst="rect">
                      <a:avLst/>
                    </a:prstGeom>
                    <a:noFill/>
                    <a:ln>
                      <a:noFill/>
                    </a:ln>
                  </pic:spPr>
                </pic:pic>
              </a:graphicData>
            </a:graphic>
          </wp:inline>
        </w:drawing>
      </w:r>
    </w:p>
    <w:p w14:paraId="51D3D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9.智能网联传感器技术实训实训中心建设</w:t>
      </w:r>
    </w:p>
    <w:p w14:paraId="07F65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智能网联传感器技术实训室适配『智能网联汽车感知技术』工学一体化专业核心课程，可制成分组教学，主要满足学生对智能网联汽车感知传感器系统的原理、测试等技能的学习、实训和考核。</w:t>
      </w:r>
    </w:p>
    <w:p w14:paraId="36EF0AF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090035" cy="2099310"/>
            <wp:effectExtent l="0" t="0" r="1206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4090035" cy="2099310"/>
                    </a:xfrm>
                    <a:prstGeom prst="rect">
                      <a:avLst/>
                    </a:prstGeom>
                    <a:noFill/>
                    <a:ln>
                      <a:noFill/>
                    </a:ln>
                  </pic:spPr>
                </pic:pic>
              </a:graphicData>
            </a:graphic>
          </wp:inline>
        </w:drawing>
      </w:r>
    </w:p>
    <w:p w14:paraId="31195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10.智能网联线控底盘实训中心建设</w:t>
      </w:r>
    </w:p>
    <w:p w14:paraId="323671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智能网联汽车核心教学实训中心，适配『智能网联汽车线控技术』工学一体化专业核心课程，可制成分组教学，主要满足学生对智能网联汽车线控转向、制动、驱动系统原理、测试等技能的学习、实训和考核。</w:t>
      </w:r>
    </w:p>
    <w:p w14:paraId="2FCD2F0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916045" cy="2045970"/>
            <wp:effectExtent l="0" t="0" r="8255" b="1143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7"/>
                    <a:stretch>
                      <a:fillRect/>
                    </a:stretch>
                  </pic:blipFill>
                  <pic:spPr>
                    <a:xfrm>
                      <a:off x="0" y="0"/>
                      <a:ext cx="3916045" cy="2045970"/>
                    </a:xfrm>
                    <a:prstGeom prst="rect">
                      <a:avLst/>
                    </a:prstGeom>
                    <a:noFill/>
                    <a:ln>
                      <a:noFill/>
                    </a:ln>
                  </pic:spPr>
                </pic:pic>
              </a:graphicData>
            </a:graphic>
          </wp:inline>
        </w:drawing>
      </w:r>
    </w:p>
    <w:p w14:paraId="17343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11.智能网联整车技术实训中心建设</w:t>
      </w:r>
    </w:p>
    <w:p w14:paraId="48AF00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汽车整车实训室是专注于智能网联汽车整车层面的综合性实践教学与科研平台。它以真实的智能网联汽车整车为基础，融合多种关键技术，旨在让学员全面深入地理解智能网联汽车从整体架构到实际运行的全过程，培养学员在整车环境下分析、解决问题以及创新实践的能力，同时也为行业开展整车技术研究、测试及人才培训提供有力支持。</w:t>
      </w:r>
    </w:p>
    <w:p w14:paraId="4B72377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524375" cy="2464435"/>
            <wp:effectExtent l="0" t="0" r="9525"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8"/>
                    <a:stretch>
                      <a:fillRect/>
                    </a:stretch>
                  </pic:blipFill>
                  <pic:spPr>
                    <a:xfrm>
                      <a:off x="0" y="0"/>
                      <a:ext cx="4524375" cy="2464435"/>
                    </a:xfrm>
                    <a:prstGeom prst="rect">
                      <a:avLst/>
                    </a:prstGeom>
                    <a:noFill/>
                    <a:ln>
                      <a:noFill/>
                    </a:ln>
                  </pic:spPr>
                </pic:pic>
              </a:graphicData>
            </a:graphic>
          </wp:inline>
        </w:drawing>
      </w:r>
    </w:p>
    <w:p w14:paraId="4784E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校外实训条件</w:t>
      </w:r>
      <w:bookmarkEnd w:id="26"/>
      <w:bookmarkEnd w:id="27"/>
      <w:bookmarkEnd w:id="28"/>
    </w:p>
    <w:p w14:paraId="047F9D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表8-17校外实训基地基本情况表</w:t>
      </w:r>
    </w:p>
    <w:tbl>
      <w:tblPr>
        <w:tblStyle w:val="11"/>
        <w:tblW w:w="8067" w:type="dxa"/>
        <w:jc w:val="center"/>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Layout w:type="fixed"/>
        <w:tblCellMar>
          <w:top w:w="0" w:type="dxa"/>
          <w:left w:w="108" w:type="dxa"/>
          <w:bottom w:w="0" w:type="dxa"/>
          <w:right w:w="108" w:type="dxa"/>
        </w:tblCellMar>
      </w:tblPr>
      <w:tblGrid>
        <w:gridCol w:w="3077"/>
        <w:gridCol w:w="2724"/>
        <w:gridCol w:w="929"/>
        <w:gridCol w:w="1337"/>
      </w:tblGrid>
      <w:tr w14:paraId="214AB4F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shd w:val="clear" w:color="auto" w:fill="BDD6EE"/>
            <w:noWrap w:val="0"/>
            <w:vAlign w:val="center"/>
          </w:tcPr>
          <w:p w14:paraId="1804D78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实训基地名称</w:t>
            </w:r>
          </w:p>
        </w:tc>
        <w:tc>
          <w:tcPr>
            <w:tcW w:w="2724" w:type="dxa"/>
            <w:shd w:val="clear" w:color="auto" w:fill="BDD6EE"/>
            <w:noWrap w:val="0"/>
            <w:vAlign w:val="center"/>
          </w:tcPr>
          <w:p w14:paraId="5747A90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实训的主要项目</w:t>
            </w:r>
          </w:p>
        </w:tc>
        <w:tc>
          <w:tcPr>
            <w:tcW w:w="929" w:type="dxa"/>
            <w:shd w:val="clear" w:color="auto" w:fill="BDD6EE"/>
            <w:noWrap w:val="0"/>
            <w:vAlign w:val="center"/>
          </w:tcPr>
          <w:p w14:paraId="0B6D22F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工位数</w:t>
            </w:r>
          </w:p>
        </w:tc>
        <w:tc>
          <w:tcPr>
            <w:tcW w:w="1337" w:type="dxa"/>
            <w:shd w:val="clear" w:color="auto" w:fill="BDD6EE"/>
            <w:noWrap w:val="0"/>
            <w:vAlign w:val="center"/>
          </w:tcPr>
          <w:p w14:paraId="49FD9525">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指导教师数</w:t>
            </w:r>
          </w:p>
        </w:tc>
      </w:tr>
      <w:tr w14:paraId="26CBFD2A">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73A84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奇瑞汽车有限公司</w:t>
            </w:r>
          </w:p>
        </w:tc>
        <w:tc>
          <w:tcPr>
            <w:tcW w:w="2724" w:type="dxa"/>
            <w:noWrap w:val="0"/>
            <w:vAlign w:val="center"/>
          </w:tcPr>
          <w:p w14:paraId="3723D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2B106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337" w:type="dxa"/>
            <w:noWrap w:val="0"/>
            <w:vAlign w:val="center"/>
          </w:tcPr>
          <w:p w14:paraId="1824D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19758C88">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1F4B7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广德大众4S店</w:t>
            </w:r>
          </w:p>
        </w:tc>
        <w:tc>
          <w:tcPr>
            <w:tcW w:w="2724" w:type="dxa"/>
            <w:noWrap w:val="0"/>
            <w:vAlign w:val="center"/>
          </w:tcPr>
          <w:p w14:paraId="5651F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613D9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337" w:type="dxa"/>
            <w:noWrap w:val="0"/>
            <w:vAlign w:val="center"/>
          </w:tcPr>
          <w:p w14:paraId="41BBB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5C69C96F">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0DF33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广德亚夏4S店</w:t>
            </w:r>
          </w:p>
        </w:tc>
        <w:tc>
          <w:tcPr>
            <w:tcW w:w="2724" w:type="dxa"/>
            <w:noWrap w:val="0"/>
            <w:vAlign w:val="center"/>
          </w:tcPr>
          <w:p w14:paraId="33E5D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5AE07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6F567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0C0BAA1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0D98D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广德车大夫汽车车饰品店</w:t>
            </w:r>
          </w:p>
        </w:tc>
        <w:tc>
          <w:tcPr>
            <w:tcW w:w="2724" w:type="dxa"/>
            <w:noWrap w:val="0"/>
            <w:vAlign w:val="center"/>
          </w:tcPr>
          <w:p w14:paraId="3D109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37F56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744F9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71B1818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5F276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广德鑫鼎汽车服务有限公司</w:t>
            </w:r>
          </w:p>
        </w:tc>
        <w:tc>
          <w:tcPr>
            <w:tcW w:w="2724" w:type="dxa"/>
            <w:noWrap w:val="0"/>
            <w:vAlign w:val="center"/>
          </w:tcPr>
          <w:p w14:paraId="5DBA5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6EB75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56C7E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172DA580">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4C0A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广德县金牌汽车装饰有限公司</w:t>
            </w:r>
          </w:p>
        </w:tc>
        <w:tc>
          <w:tcPr>
            <w:tcW w:w="2724" w:type="dxa"/>
            <w:noWrap w:val="0"/>
            <w:vAlign w:val="center"/>
          </w:tcPr>
          <w:p w14:paraId="37841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34CF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337" w:type="dxa"/>
            <w:noWrap w:val="0"/>
            <w:vAlign w:val="center"/>
          </w:tcPr>
          <w:p w14:paraId="1F580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31EA96F3">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0C02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广德振兴汽车修理厂</w:t>
            </w:r>
          </w:p>
        </w:tc>
        <w:tc>
          <w:tcPr>
            <w:tcW w:w="2724" w:type="dxa"/>
            <w:noWrap w:val="0"/>
            <w:vAlign w:val="center"/>
          </w:tcPr>
          <w:p w14:paraId="05BD4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319B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571B0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4AAE9F16">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9C15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广德吉利4S店</w:t>
            </w:r>
          </w:p>
        </w:tc>
        <w:tc>
          <w:tcPr>
            <w:tcW w:w="2724" w:type="dxa"/>
            <w:noWrap w:val="0"/>
            <w:vAlign w:val="center"/>
          </w:tcPr>
          <w:p w14:paraId="76E7E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13023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337" w:type="dxa"/>
            <w:noWrap w:val="0"/>
            <w:vAlign w:val="center"/>
          </w:tcPr>
          <w:p w14:paraId="4EE8B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r>
      <w:tr w14:paraId="0DBB2F7D">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7DBF8A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广德丰华汽车修理厂</w:t>
            </w:r>
          </w:p>
        </w:tc>
        <w:tc>
          <w:tcPr>
            <w:tcW w:w="2724" w:type="dxa"/>
            <w:noWrap w:val="0"/>
            <w:vAlign w:val="center"/>
          </w:tcPr>
          <w:p w14:paraId="25F7D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06F0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337" w:type="dxa"/>
            <w:noWrap w:val="0"/>
            <w:vAlign w:val="center"/>
          </w:tcPr>
          <w:p w14:paraId="4BDE7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bl>
    <w:p w14:paraId="2B5B6633">
      <w:pPr>
        <w:pStyle w:val="3"/>
        <w:bidi w:val="0"/>
        <w:rPr>
          <w:rFonts w:hint="eastAsia"/>
          <w:lang w:val="zh-CN" w:eastAsia="zh-CN"/>
        </w:rPr>
      </w:pPr>
      <w:bookmarkStart w:id="29" w:name="_Toc22140"/>
      <w:r>
        <w:rPr>
          <w:rFonts w:hint="eastAsia"/>
          <w:lang w:val="zh-CN" w:eastAsia="zh-CN"/>
        </w:rPr>
        <w:t>（三）教学资源</w:t>
      </w:r>
      <w:bookmarkEnd w:id="29"/>
    </w:p>
    <w:p w14:paraId="556BB1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1.教材选用</w:t>
      </w:r>
    </w:p>
    <w:p w14:paraId="17A315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按照国家规定，经过规范程序选用教材，优先选用国家规划教材和国家优秀教材。选用教材体现本行业新技术、新规范、新标准、新形态，并通过数字教材、活页式教材等多种方式进行动态更新。</w:t>
      </w:r>
    </w:p>
    <w:p w14:paraId="52765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网络</w:t>
      </w:r>
      <w:r>
        <w:rPr>
          <w:rFonts w:hint="eastAsia" w:ascii="仿宋" w:hAnsi="仿宋" w:eastAsia="仿宋" w:cs="仿宋"/>
          <w:b w:val="0"/>
          <w:bCs w:val="0"/>
          <w:kern w:val="0"/>
          <w:sz w:val="24"/>
          <w:szCs w:val="24"/>
          <w:lang w:val="zh-CN" w:eastAsia="zh-CN"/>
        </w:rPr>
        <w:t>课程资源</w:t>
      </w:r>
    </w:p>
    <w:p w14:paraId="411744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以提高学生的职业能力为目标，以工作任务为载体构建课程，已建设了《汽车发动机拆装与维修》、《汽车底盘构造与维修》、《汽车发动机电控》、《汽车维护与保养》、《新能源汽车技术》、《汽车发动机电控原理与维修》、《</w:t>
      </w:r>
      <w:r>
        <w:rPr>
          <w:rFonts w:hint="eastAsia" w:ascii="仿宋" w:hAnsi="仿宋" w:eastAsia="仿宋" w:cs="仿宋"/>
          <w:b w:val="0"/>
          <w:bCs w:val="0"/>
          <w:kern w:val="0"/>
          <w:sz w:val="24"/>
          <w:szCs w:val="24"/>
          <w:lang w:val="en-US" w:eastAsia="zh-CN"/>
        </w:rPr>
        <w:t>汽车发动机机械检修</w:t>
      </w:r>
      <w:r>
        <w:rPr>
          <w:rFonts w:hint="eastAsia" w:ascii="仿宋" w:hAnsi="仿宋" w:eastAsia="仿宋" w:cs="仿宋"/>
          <w:b w:val="0"/>
          <w:bCs w:val="0"/>
          <w:kern w:val="0"/>
          <w:sz w:val="24"/>
          <w:szCs w:val="24"/>
          <w:lang w:val="zh-CN" w:eastAsia="zh-CN"/>
        </w:rPr>
        <w:t>》等</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门优质</w:t>
      </w:r>
      <w:r>
        <w:rPr>
          <w:rFonts w:hint="eastAsia" w:ascii="仿宋" w:hAnsi="仿宋" w:eastAsia="仿宋" w:cs="仿宋"/>
          <w:b w:val="0"/>
          <w:bCs w:val="0"/>
          <w:kern w:val="0"/>
          <w:sz w:val="24"/>
          <w:szCs w:val="24"/>
          <w:lang w:val="en-US" w:eastAsia="zh-CN"/>
        </w:rPr>
        <w:t>在线精品</w:t>
      </w:r>
      <w:r>
        <w:rPr>
          <w:rFonts w:hint="eastAsia" w:ascii="仿宋" w:hAnsi="仿宋" w:eastAsia="仿宋" w:cs="仿宋"/>
          <w:b w:val="0"/>
          <w:bCs w:val="0"/>
          <w:kern w:val="0"/>
          <w:sz w:val="24"/>
          <w:szCs w:val="24"/>
          <w:lang w:val="zh-CN" w:eastAsia="zh-CN"/>
        </w:rPr>
        <w:t>课程，各门课程均开发了理实一体教材、教学课件、习题集、实训教案、实训教学视频，课外阅读材料等。</w:t>
      </w:r>
    </w:p>
    <w:p w14:paraId="13FF8A49">
      <w:pPr>
        <w:pStyle w:val="3"/>
        <w:bidi w:val="0"/>
        <w:rPr>
          <w:rFonts w:hint="eastAsia"/>
          <w:lang w:val="en-US" w:eastAsia="zh-CN"/>
        </w:rPr>
      </w:pPr>
      <w:bookmarkStart w:id="30" w:name="_Toc32592"/>
      <w:r>
        <w:rPr>
          <w:rFonts w:hint="eastAsia"/>
          <w:lang w:val="zh-CN" w:eastAsia="zh-CN"/>
        </w:rPr>
        <w:t>（四）教学</w:t>
      </w:r>
      <w:r>
        <w:rPr>
          <w:rFonts w:hint="eastAsia"/>
          <w:lang w:val="en-US" w:eastAsia="zh-CN"/>
        </w:rPr>
        <w:t>方法</w:t>
      </w:r>
      <w:bookmarkEnd w:id="30"/>
    </w:p>
    <w:p w14:paraId="36394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理实一体化教学法​</w:t>
      </w:r>
    </w:p>
    <w:p w14:paraId="483439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以“做中学、学中做”为核心，打破理论课与实训课的时空界限，将课堂搬进实训车间。针对动力电池检测、电机控制系统维修、整车故障诊断等核心课程，采用“理论讲解—示范操作—分组实操—复盘总结”四步流程：教师先结合实训台架、实车教具讲解核心原理（如三元锂电池充放电机制、VCU控制逻辑），再通过可视化操作（拆解、组装、故障模拟）演示关键技能，随后学生分组在标准工位完成实操任务，教师巡回指导并实时解决问题，最后通过小组汇报、教师点评巩固理论与技能的衔接，确保学生“懂原理、会操作、能排查”。​</w:t>
      </w:r>
    </w:p>
    <w:p w14:paraId="359990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项目驱动教学法​</w:t>
      </w:r>
    </w:p>
    <w:p w14:paraId="29C51B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以新能源汽车岗位实际工作任务为载体，将课程内容拆解为若干项目模块，如“新能源汽车常规保养项目”“动力电池包更换与检测项目”“高压系统故障诊断与排除项目”等。每个项目明确任务目标、操作标准、考核要求，学生以项目小组为单位，自主制定实施计划、分工协作完成任务（如从故障报修、数据流分析、部件检测到维修验收的全流程），教师仅作为引导者提供资源支持和技术点拨。通过项目实施，培养学生的团队协作能力、问题解决能力和流程化作业思维，实现“任务完成即技能掌握”。​</w:t>
      </w:r>
    </w:p>
    <w:p w14:paraId="60B14B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岗课赛证融合教学法​</w:t>
      </w:r>
    </w:p>
    <w:p w14:paraId="4F364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岗位对接：参照新能源汽车维修技师、电池运维工程师等岗位职业标准，将岗位核心技能（如高压安全操作、充电桩安装调试、新能源汽车定损理赔）融入课程教学，设置“岗位模拟实训”环节，还原4S店、维修企业的真实工作场景；​</w:t>
      </w:r>
    </w:p>
    <w:p w14:paraId="5BD53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赛事融入：将新能源汽车检测与维修技能大赛的竞赛标准、考核内容转化为教学案例，如大赛中的“动力电池系统故障诊断”“电机控制器维修”等题型，作为实训课的拓展任务，以赛促学、以赛促练，提升学生的技能熟练度和竞技能力；​</w:t>
      </w:r>
    </w:p>
    <w:p w14:paraId="485880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证书衔接：围绕新能源汽车检测与维修工（中级）、低压电工证等职业资格证书或技能等级证书的考核要求，优化教学内容，增设考证专项实训模块，确保学生在毕业前既能掌握专业技能，又能获取岗位准入所需证书，提升就业竞争力。​</w:t>
      </w:r>
    </w:p>
    <w:p w14:paraId="6D678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案例教学法​</w:t>
      </w:r>
    </w:p>
    <w:p w14:paraId="662E7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收集新能源汽车行业典型故障案例（如动力电池单体压差过大、电机控制器通讯故障、OBC车载充电机不充电等），将案例转化为教学素材。教学中先呈现案例背景（故障现象、车辆型号、行驶里程），引导学生结合理论知识分析故障原因、制定诊断思路，再通过实车模拟故障或借助故障诊断仪进行数据流分析，验证诊断方案的可行性。同时，引入企业真实维修案例视频、维修工单等资料，让学生了解企业实际维修流程和标准，缩短课堂教学与岗位实际的差距，培养学生的故障诊断逻辑和实战能力。​</w:t>
      </w:r>
    </w:p>
    <w:p w14:paraId="711435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5.</w:t>
      </w:r>
      <w:r>
        <w:rPr>
          <w:rFonts w:hint="eastAsia" w:ascii="仿宋" w:hAnsi="仿宋" w:eastAsia="仿宋" w:cs="仿宋"/>
          <w:b w:val="0"/>
          <w:bCs w:val="0"/>
          <w:kern w:val="0"/>
          <w:sz w:val="24"/>
          <w:szCs w:val="24"/>
          <w:lang w:val="zh-CN" w:eastAsia="zh-CN"/>
        </w:rPr>
        <w:t>信息化辅助教学法​</w:t>
      </w:r>
    </w:p>
    <w:p w14:paraId="5C71FC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利用信息化教学工具提升教学效果，具体包括：​</w:t>
      </w:r>
    </w:p>
    <w:p w14:paraId="29FFD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借助虚拟仿真教学平台（如新能源汽车虚拟实训系统），模拟高压系统操作、动力电池拆解等高危或复杂实训项目，让学生在虚拟环境中反复练习，降低实训安全风险，同时突破实训设备数量限制；​</w:t>
      </w:r>
    </w:p>
    <w:p w14:paraId="5D01E1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运用微课、教学视频等资源，将核心知识点（如电机工作原理、充电系统结构）制作成碎片化学习内容，方便学生课前预习和课后复习；​</w:t>
      </w:r>
    </w:p>
    <w:p w14:paraId="39BD51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利用在线教学平台（如学习通、职教云）发布作业、开展讨论、进行在线测试，实时掌握学生学习情况，实现精准教学；​</w:t>
      </w:r>
    </w:p>
    <w:p w14:paraId="51176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引入AR/VR技术，让学生通过穿戴设备直观观察新能源汽车内部结构（如电池包内部布局、电机与减速器连接方式），增强空间认知能力，提升教学的趣味性和直观性。​</w:t>
      </w:r>
    </w:p>
    <w:p w14:paraId="3AFFE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6.</w:t>
      </w:r>
      <w:r>
        <w:rPr>
          <w:rFonts w:hint="eastAsia" w:ascii="仿宋" w:hAnsi="仿宋" w:eastAsia="仿宋" w:cs="仿宋"/>
          <w:b w:val="0"/>
          <w:bCs w:val="0"/>
          <w:kern w:val="0"/>
          <w:sz w:val="24"/>
          <w:szCs w:val="24"/>
          <w:lang w:val="zh-CN" w:eastAsia="zh-CN"/>
        </w:rPr>
        <w:t>企业沉浸式教学法​</w:t>
      </w:r>
    </w:p>
    <w:p w14:paraId="1926B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深化校企合作，推行“企业见习+顶岗实习”的沉浸式教学模式：</w:t>
      </w:r>
    </w:p>
    <w:p w14:paraId="6744C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低年级学生每学期安排1-2周企业见习，进入新能源汽车4S店、维修企业、电池生产厂家，观摩一线工作流程，了解企业文化和岗位需求，建立职业认知。</w:t>
      </w:r>
    </w:p>
    <w:p w14:paraId="6012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高年级学生安排3个月顶岗实习，在企业导师和学校教师的双重指导下，参与实际工作任务（如车辆保养、故障维修、客户接待等），将课堂所学技能应用于岗位实践，同时学习企业的质量管理、安全生产等职业素养要求，实现从学生到职业人的角色过渡。此外，邀请企业技术骨干、行业专家进校园开展专题讲座、技能培训，分享行业最新技术动态和实战经验，拓宽学生视野。​</w:t>
      </w:r>
    </w:p>
    <w:p w14:paraId="2E9F8738">
      <w:pPr>
        <w:pStyle w:val="3"/>
        <w:bidi w:val="0"/>
        <w:rPr>
          <w:rFonts w:hint="eastAsia"/>
          <w:lang w:val="zh-CN" w:eastAsia="zh-CN"/>
        </w:rPr>
      </w:pPr>
      <w:bookmarkStart w:id="31" w:name="_Toc17048"/>
      <w:r>
        <w:rPr>
          <w:rFonts w:hint="eastAsia"/>
          <w:lang w:val="zh-CN" w:eastAsia="zh-CN"/>
        </w:rPr>
        <w:t>（五）</w:t>
      </w:r>
      <w:r>
        <w:rPr>
          <w:rFonts w:hint="eastAsia"/>
          <w:lang w:val="en-US" w:eastAsia="zh-CN"/>
        </w:rPr>
        <w:t>学习</w:t>
      </w:r>
      <w:r>
        <w:rPr>
          <w:rFonts w:hint="eastAsia"/>
          <w:lang w:val="zh-CN" w:eastAsia="zh-CN"/>
        </w:rPr>
        <w:t>评价</w:t>
      </w:r>
      <w:bookmarkEnd w:id="31"/>
    </w:p>
    <w:p w14:paraId="7E3F9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科学的教学质量评价体系是检验人才培养方案效果和修订人才培养方案的有效途径。本专业采取如下措施以保证教学评价的运行：</w:t>
      </w:r>
    </w:p>
    <w:p w14:paraId="1280F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1.建立企业与学校共同参与的教学质量评价运行机制；</w:t>
      </w:r>
    </w:p>
    <w:p w14:paraId="5B782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2.建立学生自评、互评和教师评价、企业评价、社会评价项结合的综合评价体系；</w:t>
      </w:r>
    </w:p>
    <w:p w14:paraId="12BAB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3.完善企业对毕业生满意度调查、学生和家长对学校的满意度调查运行机制；</w:t>
      </w:r>
    </w:p>
    <w:p w14:paraId="5DE7EE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4.专家指导委员会负责根据企业、家长、毕业生的耗资两评价结果，对人才方案进行整改与完善。</w:t>
      </w:r>
    </w:p>
    <w:p w14:paraId="517B78C4">
      <w:pPr>
        <w:pStyle w:val="3"/>
        <w:bidi w:val="0"/>
        <w:rPr>
          <w:rFonts w:hint="eastAsia"/>
          <w:lang w:val="zh-CN" w:eastAsia="zh-CN"/>
        </w:rPr>
      </w:pPr>
      <w:bookmarkStart w:id="32" w:name="_Toc16998"/>
      <w:r>
        <w:rPr>
          <w:rFonts w:hint="eastAsia"/>
          <w:lang w:val="zh-CN" w:eastAsia="zh-CN"/>
        </w:rPr>
        <w:t>（六）质量管理</w:t>
      </w:r>
      <w:bookmarkEnd w:id="32"/>
    </w:p>
    <w:p w14:paraId="1F90F8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教学质量监控系统由校、系部两级教学监督、</w:t>
      </w:r>
      <w:r>
        <w:rPr>
          <w:rFonts w:hint="eastAsia" w:ascii="仿宋" w:hAnsi="仿宋" w:eastAsia="仿宋" w:cs="仿宋"/>
          <w:b w:val="0"/>
          <w:bCs w:val="0"/>
          <w:kern w:val="0"/>
          <w:sz w:val="24"/>
          <w:szCs w:val="24"/>
          <w:lang w:val="en-US" w:eastAsia="zh-CN"/>
        </w:rPr>
        <w:t>教学督导（推门听课）、</w:t>
      </w:r>
      <w:r>
        <w:rPr>
          <w:rFonts w:hint="eastAsia" w:ascii="仿宋" w:hAnsi="仿宋" w:eastAsia="仿宋" w:cs="仿宋"/>
          <w:b w:val="0"/>
          <w:bCs w:val="0"/>
          <w:kern w:val="0"/>
          <w:sz w:val="24"/>
          <w:szCs w:val="24"/>
          <w:lang w:val="zh-CN" w:eastAsia="zh-CN"/>
        </w:rPr>
        <w:t>学生评价、教学检查</w:t>
      </w:r>
      <w:r>
        <w:rPr>
          <w:rFonts w:hint="eastAsia" w:ascii="仿宋" w:hAnsi="仿宋" w:eastAsia="仿宋" w:cs="仿宋"/>
          <w:b w:val="0"/>
          <w:bCs w:val="0"/>
          <w:kern w:val="0"/>
          <w:sz w:val="24"/>
          <w:szCs w:val="24"/>
          <w:lang w:val="en-US" w:eastAsia="zh-CN"/>
        </w:rPr>
        <w:t>等</w:t>
      </w:r>
      <w:r>
        <w:rPr>
          <w:rFonts w:hint="eastAsia" w:ascii="仿宋" w:hAnsi="仿宋" w:eastAsia="仿宋" w:cs="仿宋"/>
          <w:b w:val="0"/>
          <w:bCs w:val="0"/>
          <w:kern w:val="0"/>
          <w:sz w:val="24"/>
          <w:szCs w:val="24"/>
          <w:lang w:val="zh-CN" w:eastAsia="zh-CN"/>
        </w:rPr>
        <w:t>组成。</w:t>
      </w:r>
    </w:p>
    <w:p w14:paraId="6C0DA6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1.校、系两级教学督导</w:t>
      </w:r>
    </w:p>
    <w:p w14:paraId="6C8855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成立校系两级教学指导委员会，校级教学指导委员会是学校教学工作方面的咨询机构；系级教学指导委员会负责对教学过程实施中影响教学质量的各个环节进行监督、评价，直接对分管副校长负责，并接受校级教学指导委员会的业务指导。教学指导委员会成员一般有教学经验丰富、学术水平高、责任心强的高级职称教师组成，对学校重大教学工作实行监督、检查、评价、审议、指导。</w:t>
      </w:r>
    </w:p>
    <w:p w14:paraId="60BCA9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教学督导（推门听课）</w:t>
      </w:r>
    </w:p>
    <w:p w14:paraId="34365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学校</w:t>
      </w:r>
      <w:r>
        <w:rPr>
          <w:rFonts w:hint="eastAsia" w:ascii="仿宋" w:hAnsi="仿宋" w:eastAsia="仿宋" w:cs="仿宋"/>
          <w:b w:val="0"/>
          <w:bCs w:val="0"/>
          <w:kern w:val="0"/>
          <w:sz w:val="24"/>
          <w:szCs w:val="24"/>
          <w:lang w:val="en-US" w:eastAsia="zh-CN"/>
        </w:rPr>
        <w:t>成立督导室，组织行政人员</w:t>
      </w:r>
      <w:r>
        <w:rPr>
          <w:rFonts w:hint="eastAsia" w:ascii="仿宋" w:hAnsi="仿宋" w:eastAsia="仿宋" w:cs="仿宋"/>
          <w:b w:val="0"/>
          <w:bCs w:val="0"/>
          <w:kern w:val="0"/>
          <w:sz w:val="24"/>
          <w:szCs w:val="24"/>
          <w:lang w:val="zh-CN" w:eastAsia="zh-CN"/>
        </w:rPr>
        <w:t>深入教学</w:t>
      </w:r>
      <w:r>
        <w:rPr>
          <w:rFonts w:hint="eastAsia" w:ascii="仿宋" w:hAnsi="仿宋" w:eastAsia="仿宋" w:cs="仿宋"/>
          <w:b w:val="0"/>
          <w:bCs w:val="0"/>
          <w:kern w:val="0"/>
          <w:sz w:val="24"/>
          <w:szCs w:val="24"/>
          <w:lang w:val="en-US" w:eastAsia="zh-CN"/>
        </w:rPr>
        <w:t>督导</w:t>
      </w:r>
      <w:r>
        <w:rPr>
          <w:rFonts w:hint="eastAsia" w:ascii="仿宋" w:hAnsi="仿宋" w:eastAsia="仿宋" w:cs="仿宋"/>
          <w:b w:val="0"/>
          <w:bCs w:val="0"/>
          <w:kern w:val="0"/>
          <w:sz w:val="24"/>
          <w:szCs w:val="24"/>
          <w:lang w:val="zh-CN" w:eastAsia="zh-CN"/>
        </w:rPr>
        <w:t>第一线，及时了解</w:t>
      </w:r>
      <w:r>
        <w:rPr>
          <w:rFonts w:hint="eastAsia" w:ascii="仿宋" w:hAnsi="仿宋" w:eastAsia="仿宋" w:cs="仿宋"/>
          <w:b w:val="0"/>
          <w:bCs w:val="0"/>
          <w:kern w:val="0"/>
          <w:sz w:val="24"/>
          <w:szCs w:val="24"/>
          <w:lang w:val="en-US" w:eastAsia="zh-CN"/>
        </w:rPr>
        <w:t>教师</w:t>
      </w:r>
      <w:r>
        <w:rPr>
          <w:rFonts w:hint="eastAsia" w:ascii="仿宋" w:hAnsi="仿宋" w:eastAsia="仿宋" w:cs="仿宋"/>
          <w:b w:val="0"/>
          <w:bCs w:val="0"/>
          <w:kern w:val="0"/>
          <w:sz w:val="24"/>
          <w:szCs w:val="24"/>
          <w:lang w:val="zh-CN" w:eastAsia="zh-CN"/>
        </w:rPr>
        <w:t>教学情况，倾听师生意见，发现并解决教学存在的问题，避免教学一线与管理层的脱节，保证了教学管理工作的针对性和有效性。</w:t>
      </w:r>
    </w:p>
    <w:p w14:paraId="3B91CE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3.学生评价</w:t>
      </w:r>
    </w:p>
    <w:p w14:paraId="0182B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学生在教学活动中处于主体地位，让学生参与管理及制度建设，发现并反映教学过程中的某些问题是快速解决教学问题、树立“以学生为中心”教学理念的重要手段，对于不断提高学校的教学质量具有积极的意义。学校规定，以专业为单位，选取部分学生、课代表和学生干部，填写认可教师评分表，给学生以畅通的渠道反映本专业教学管理、办学条件和教学质量汇总存在的问题并对教学提出意见和建议，使教导处和各专业管理更加贴进学生。</w:t>
      </w:r>
    </w:p>
    <w:p w14:paraId="5F107C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4.</w:t>
      </w:r>
      <w:r>
        <w:rPr>
          <w:rFonts w:hint="eastAsia" w:ascii="仿宋" w:hAnsi="仿宋" w:eastAsia="仿宋" w:cs="仿宋"/>
          <w:b w:val="0"/>
          <w:bCs w:val="0"/>
          <w:kern w:val="0"/>
          <w:sz w:val="24"/>
          <w:szCs w:val="24"/>
          <w:lang w:val="en-US" w:eastAsia="zh-CN"/>
        </w:rPr>
        <w:t>教学检查</w:t>
      </w:r>
    </w:p>
    <w:p w14:paraId="1A703E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教学检查是常规教学的重要方面，是规范教学秩序的一项基础性工作，也是强化质量意识、推进教学改革的重要措施之一。从</w:t>
      </w:r>
      <w:r>
        <w:rPr>
          <w:rFonts w:hint="eastAsia" w:ascii="仿宋" w:hAnsi="仿宋" w:eastAsia="仿宋" w:cs="仿宋"/>
          <w:b w:val="0"/>
          <w:bCs w:val="0"/>
          <w:kern w:val="0"/>
          <w:sz w:val="24"/>
          <w:szCs w:val="24"/>
          <w:lang w:val="en-US" w:eastAsia="zh-CN"/>
        </w:rPr>
        <w:t>学</w:t>
      </w:r>
      <w:r>
        <w:rPr>
          <w:rFonts w:hint="eastAsia" w:ascii="仿宋" w:hAnsi="仿宋" w:eastAsia="仿宋" w:cs="仿宋"/>
          <w:b w:val="0"/>
          <w:bCs w:val="0"/>
          <w:kern w:val="0"/>
          <w:sz w:val="24"/>
          <w:szCs w:val="24"/>
          <w:lang w:val="zh-CN" w:eastAsia="zh-CN"/>
        </w:rPr>
        <w:t>期初到期末不少于</w:t>
      </w: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次集中教学检查，教学情况的检查工作贯穿始终，发现问题并及时解决问题，注意归纳分析和总结经验，以指导工作，不断提高管理者在日常教学检查中出现的预见问题、解决问题的能力。</w:t>
      </w:r>
    </w:p>
    <w:p w14:paraId="50F770E7">
      <w:pPr>
        <w:pStyle w:val="2"/>
        <w:bidi w:val="0"/>
        <w:rPr>
          <w:rFonts w:hint="eastAsia"/>
          <w:lang w:val="zh-CN" w:eastAsia="zh-CN"/>
        </w:rPr>
      </w:pPr>
      <w:bookmarkStart w:id="33" w:name="_Toc7486"/>
      <w:r>
        <w:rPr>
          <w:rFonts w:hint="eastAsia"/>
          <w:lang w:val="zh-CN" w:eastAsia="zh-CN"/>
        </w:rPr>
        <w:t>九、毕业要求</w:t>
      </w:r>
      <w:bookmarkEnd w:id="33"/>
    </w:p>
    <w:p w14:paraId="43786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毕业需修满的总学分（24</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学分），毕业生需同时满足：</w:t>
      </w:r>
    </w:p>
    <w:p w14:paraId="40DF52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思想品质和职业道德合格；</w:t>
      </w:r>
    </w:p>
    <w:p w14:paraId="2A863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修满24</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学分，所有课程成绩合格；</w:t>
      </w:r>
    </w:p>
    <w:p w14:paraId="439CE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完成</w:t>
      </w:r>
      <w:r>
        <w:rPr>
          <w:rFonts w:hint="eastAsia" w:ascii="仿宋" w:hAnsi="仿宋" w:eastAsia="仿宋" w:cs="仿宋"/>
          <w:b w:val="0"/>
          <w:bCs w:val="0"/>
          <w:kern w:val="0"/>
          <w:sz w:val="24"/>
          <w:szCs w:val="24"/>
          <w:lang w:val="en-US" w:eastAsia="zh-CN"/>
        </w:rPr>
        <w:t>12周岗位</w:t>
      </w:r>
      <w:r>
        <w:rPr>
          <w:rFonts w:hint="eastAsia" w:ascii="仿宋" w:hAnsi="仿宋" w:eastAsia="仿宋" w:cs="仿宋"/>
          <w:b w:val="0"/>
          <w:bCs w:val="0"/>
          <w:kern w:val="0"/>
          <w:sz w:val="24"/>
          <w:szCs w:val="24"/>
          <w:lang w:val="zh-CN" w:eastAsia="zh-CN"/>
        </w:rPr>
        <w:t>实习，实习鉴定合格；</w:t>
      </w:r>
    </w:p>
    <w:p w14:paraId="0A834F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取得</w:t>
      </w:r>
      <w:r>
        <w:rPr>
          <w:rFonts w:hint="eastAsia" w:ascii="仿宋" w:hAnsi="仿宋" w:eastAsia="仿宋" w:cs="仿宋"/>
          <w:b w:val="0"/>
          <w:bCs w:val="0"/>
          <w:kern w:val="0"/>
          <w:sz w:val="24"/>
          <w:szCs w:val="24"/>
          <w:lang w:val="en-US" w:eastAsia="zh-CN"/>
        </w:rPr>
        <w:t>新能源</w:t>
      </w:r>
      <w:r>
        <w:rPr>
          <w:rFonts w:hint="eastAsia" w:ascii="仿宋" w:hAnsi="仿宋" w:eastAsia="仿宋" w:cs="仿宋"/>
          <w:b w:val="0"/>
          <w:bCs w:val="0"/>
          <w:kern w:val="0"/>
          <w:sz w:val="24"/>
          <w:szCs w:val="24"/>
          <w:lang w:val="zh-CN" w:eastAsia="zh-CN"/>
        </w:rPr>
        <w:t>汽车维修工（中级）资格证书，</w:t>
      </w:r>
      <w:r>
        <w:rPr>
          <w:rFonts w:hint="eastAsia" w:ascii="仿宋" w:hAnsi="仿宋" w:eastAsia="仿宋" w:cs="仿宋"/>
          <w:b w:val="0"/>
          <w:bCs w:val="0"/>
          <w:kern w:val="0"/>
          <w:sz w:val="24"/>
          <w:szCs w:val="24"/>
          <w:lang w:val="en-US" w:eastAsia="zh-CN"/>
        </w:rPr>
        <w:t>低压电工证</w:t>
      </w:r>
      <w:r>
        <w:rPr>
          <w:rFonts w:hint="eastAsia" w:ascii="仿宋" w:hAnsi="仿宋" w:cs="仿宋"/>
          <w:b w:val="0"/>
          <w:bCs w:val="0"/>
          <w:kern w:val="0"/>
          <w:sz w:val="24"/>
          <w:szCs w:val="24"/>
          <w:lang w:val="zh-CN" w:eastAsia="zh-CN"/>
        </w:rPr>
        <w:t>。</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EE1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3CC9C">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83CC9C">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0441F"/>
    <w:rsid w:val="02866093"/>
    <w:rsid w:val="02BC1AB4"/>
    <w:rsid w:val="02DA018C"/>
    <w:rsid w:val="034B2E38"/>
    <w:rsid w:val="03960557"/>
    <w:rsid w:val="03EC63C9"/>
    <w:rsid w:val="03FA2E3A"/>
    <w:rsid w:val="041D47D5"/>
    <w:rsid w:val="04F73278"/>
    <w:rsid w:val="05F6352F"/>
    <w:rsid w:val="06D01FD2"/>
    <w:rsid w:val="07697D31"/>
    <w:rsid w:val="0781151E"/>
    <w:rsid w:val="083E11BD"/>
    <w:rsid w:val="08646E76"/>
    <w:rsid w:val="09320D22"/>
    <w:rsid w:val="093C56FD"/>
    <w:rsid w:val="09B554AF"/>
    <w:rsid w:val="0B696551"/>
    <w:rsid w:val="0BB579E9"/>
    <w:rsid w:val="0BC1319E"/>
    <w:rsid w:val="0BDC7919"/>
    <w:rsid w:val="0C5E65EE"/>
    <w:rsid w:val="0CA27847"/>
    <w:rsid w:val="0CE2480D"/>
    <w:rsid w:val="0D240982"/>
    <w:rsid w:val="0E67321C"/>
    <w:rsid w:val="0EB977F0"/>
    <w:rsid w:val="10BC5375"/>
    <w:rsid w:val="10CF50A9"/>
    <w:rsid w:val="1125116C"/>
    <w:rsid w:val="11716160"/>
    <w:rsid w:val="11902A8A"/>
    <w:rsid w:val="11BB562D"/>
    <w:rsid w:val="11CD7E2D"/>
    <w:rsid w:val="11D5049D"/>
    <w:rsid w:val="11E7040A"/>
    <w:rsid w:val="126E269F"/>
    <w:rsid w:val="12F11FA2"/>
    <w:rsid w:val="1336140F"/>
    <w:rsid w:val="138C54D3"/>
    <w:rsid w:val="147321EF"/>
    <w:rsid w:val="15C40F54"/>
    <w:rsid w:val="16640041"/>
    <w:rsid w:val="17377504"/>
    <w:rsid w:val="178A1D29"/>
    <w:rsid w:val="17D2722C"/>
    <w:rsid w:val="186B1B5B"/>
    <w:rsid w:val="199926F8"/>
    <w:rsid w:val="19B26743"/>
    <w:rsid w:val="19E03E83"/>
    <w:rsid w:val="1B4F7512"/>
    <w:rsid w:val="1B851185"/>
    <w:rsid w:val="1B8A28AB"/>
    <w:rsid w:val="1C4529B6"/>
    <w:rsid w:val="1CC17F9B"/>
    <w:rsid w:val="1CC7757C"/>
    <w:rsid w:val="1E360CD5"/>
    <w:rsid w:val="1EAC4C7B"/>
    <w:rsid w:val="2096173F"/>
    <w:rsid w:val="215D400B"/>
    <w:rsid w:val="21BC76E5"/>
    <w:rsid w:val="21D97B35"/>
    <w:rsid w:val="21DE339D"/>
    <w:rsid w:val="22031056"/>
    <w:rsid w:val="22941CAE"/>
    <w:rsid w:val="22C00CF5"/>
    <w:rsid w:val="22DB78DD"/>
    <w:rsid w:val="23D20CE0"/>
    <w:rsid w:val="242365E6"/>
    <w:rsid w:val="25021151"/>
    <w:rsid w:val="25302162"/>
    <w:rsid w:val="25E847EB"/>
    <w:rsid w:val="26FC6074"/>
    <w:rsid w:val="27005B64"/>
    <w:rsid w:val="28125B4F"/>
    <w:rsid w:val="28D948BF"/>
    <w:rsid w:val="291122AA"/>
    <w:rsid w:val="29226266"/>
    <w:rsid w:val="29CA2459"/>
    <w:rsid w:val="2A5A37DD"/>
    <w:rsid w:val="2A9036A3"/>
    <w:rsid w:val="2A952A67"/>
    <w:rsid w:val="2B1B509E"/>
    <w:rsid w:val="2B3D7387"/>
    <w:rsid w:val="2BBB64FD"/>
    <w:rsid w:val="2BEE0681"/>
    <w:rsid w:val="2C2E3173"/>
    <w:rsid w:val="2CC82C80"/>
    <w:rsid w:val="2D12039F"/>
    <w:rsid w:val="2D1934DC"/>
    <w:rsid w:val="2E0A551A"/>
    <w:rsid w:val="2E9F1B5D"/>
    <w:rsid w:val="2EC35DF5"/>
    <w:rsid w:val="2F754C15"/>
    <w:rsid w:val="2F7E1D1C"/>
    <w:rsid w:val="2FE46D20"/>
    <w:rsid w:val="30E47124"/>
    <w:rsid w:val="319B6B33"/>
    <w:rsid w:val="336F744F"/>
    <w:rsid w:val="33BC72B7"/>
    <w:rsid w:val="340D18C0"/>
    <w:rsid w:val="352944D8"/>
    <w:rsid w:val="358E6A31"/>
    <w:rsid w:val="36405F7D"/>
    <w:rsid w:val="36D84407"/>
    <w:rsid w:val="36F35845"/>
    <w:rsid w:val="37CA6B96"/>
    <w:rsid w:val="386F48F8"/>
    <w:rsid w:val="38997BC6"/>
    <w:rsid w:val="393905D8"/>
    <w:rsid w:val="395064D7"/>
    <w:rsid w:val="398B39B3"/>
    <w:rsid w:val="39D30EB6"/>
    <w:rsid w:val="3A411303"/>
    <w:rsid w:val="3A577D39"/>
    <w:rsid w:val="3A8328DC"/>
    <w:rsid w:val="3B3D6F2F"/>
    <w:rsid w:val="3C0B0DDB"/>
    <w:rsid w:val="3CB90837"/>
    <w:rsid w:val="3CD25455"/>
    <w:rsid w:val="3D45031D"/>
    <w:rsid w:val="3EBC460F"/>
    <w:rsid w:val="3FF658FE"/>
    <w:rsid w:val="40271D55"/>
    <w:rsid w:val="4124436F"/>
    <w:rsid w:val="41E2438C"/>
    <w:rsid w:val="41E9571B"/>
    <w:rsid w:val="42537038"/>
    <w:rsid w:val="42DE4B54"/>
    <w:rsid w:val="432F3601"/>
    <w:rsid w:val="433E4838"/>
    <w:rsid w:val="44F06DC0"/>
    <w:rsid w:val="451900C5"/>
    <w:rsid w:val="45605CF4"/>
    <w:rsid w:val="45E05087"/>
    <w:rsid w:val="46F26E20"/>
    <w:rsid w:val="46FF153C"/>
    <w:rsid w:val="471D19C3"/>
    <w:rsid w:val="47372A84"/>
    <w:rsid w:val="48147269"/>
    <w:rsid w:val="48286871"/>
    <w:rsid w:val="48627FD5"/>
    <w:rsid w:val="48981C49"/>
    <w:rsid w:val="48F71942"/>
    <w:rsid w:val="4B3E33A3"/>
    <w:rsid w:val="4B8E2E8F"/>
    <w:rsid w:val="4BFE0015"/>
    <w:rsid w:val="4C325F10"/>
    <w:rsid w:val="4D27359B"/>
    <w:rsid w:val="4D9D560B"/>
    <w:rsid w:val="4E013DEC"/>
    <w:rsid w:val="4E4F6905"/>
    <w:rsid w:val="4ED07C48"/>
    <w:rsid w:val="4EEA2AD2"/>
    <w:rsid w:val="4F960564"/>
    <w:rsid w:val="50414974"/>
    <w:rsid w:val="50F35F21"/>
    <w:rsid w:val="513B13C3"/>
    <w:rsid w:val="51A1478C"/>
    <w:rsid w:val="51D51818"/>
    <w:rsid w:val="51E33768"/>
    <w:rsid w:val="51EC4006"/>
    <w:rsid w:val="5281374D"/>
    <w:rsid w:val="528B1ED6"/>
    <w:rsid w:val="533B1B4E"/>
    <w:rsid w:val="543A0058"/>
    <w:rsid w:val="54882B71"/>
    <w:rsid w:val="54F75F49"/>
    <w:rsid w:val="5522402A"/>
    <w:rsid w:val="55446C79"/>
    <w:rsid w:val="55C4407D"/>
    <w:rsid w:val="560C332E"/>
    <w:rsid w:val="56292132"/>
    <w:rsid w:val="56757125"/>
    <w:rsid w:val="57323268"/>
    <w:rsid w:val="574A05B2"/>
    <w:rsid w:val="580764A3"/>
    <w:rsid w:val="58922210"/>
    <w:rsid w:val="58AF6DD5"/>
    <w:rsid w:val="58CE0D6F"/>
    <w:rsid w:val="5A096502"/>
    <w:rsid w:val="5B615ECA"/>
    <w:rsid w:val="5B8322E4"/>
    <w:rsid w:val="5C1D0043"/>
    <w:rsid w:val="5C757E7F"/>
    <w:rsid w:val="5DD24E5D"/>
    <w:rsid w:val="5E4312D1"/>
    <w:rsid w:val="5E4D0988"/>
    <w:rsid w:val="5E4E6BDA"/>
    <w:rsid w:val="5FC5111D"/>
    <w:rsid w:val="5FE175D9"/>
    <w:rsid w:val="60237BF2"/>
    <w:rsid w:val="614B7400"/>
    <w:rsid w:val="61E11B13"/>
    <w:rsid w:val="622F0AD0"/>
    <w:rsid w:val="63950E07"/>
    <w:rsid w:val="6457430E"/>
    <w:rsid w:val="647B624F"/>
    <w:rsid w:val="64A532CB"/>
    <w:rsid w:val="664B7EA3"/>
    <w:rsid w:val="66703465"/>
    <w:rsid w:val="6764746E"/>
    <w:rsid w:val="67B6759E"/>
    <w:rsid w:val="67C27CF0"/>
    <w:rsid w:val="69912070"/>
    <w:rsid w:val="6A274783"/>
    <w:rsid w:val="6A771266"/>
    <w:rsid w:val="6BC229B5"/>
    <w:rsid w:val="6BFA214F"/>
    <w:rsid w:val="6C6121CE"/>
    <w:rsid w:val="6C8934D3"/>
    <w:rsid w:val="6C953C26"/>
    <w:rsid w:val="6CA16A6E"/>
    <w:rsid w:val="6CA3362C"/>
    <w:rsid w:val="6CA87DFD"/>
    <w:rsid w:val="6D1234C8"/>
    <w:rsid w:val="6D390A55"/>
    <w:rsid w:val="6DD53DC5"/>
    <w:rsid w:val="6E16620A"/>
    <w:rsid w:val="6E671FF6"/>
    <w:rsid w:val="6F011A46"/>
    <w:rsid w:val="6FDE3B35"/>
    <w:rsid w:val="70DD3DED"/>
    <w:rsid w:val="70EB650A"/>
    <w:rsid w:val="7104137A"/>
    <w:rsid w:val="714B51FB"/>
    <w:rsid w:val="72BB35C8"/>
    <w:rsid w:val="730639A3"/>
    <w:rsid w:val="73815910"/>
    <w:rsid w:val="73F64580"/>
    <w:rsid w:val="752C20C8"/>
    <w:rsid w:val="754E0E15"/>
    <w:rsid w:val="767D4A6E"/>
    <w:rsid w:val="76864343"/>
    <w:rsid w:val="77AB254F"/>
    <w:rsid w:val="77D73344"/>
    <w:rsid w:val="77E31CE9"/>
    <w:rsid w:val="78AD22F7"/>
    <w:rsid w:val="79AE4579"/>
    <w:rsid w:val="7A066163"/>
    <w:rsid w:val="7A132A00"/>
    <w:rsid w:val="7A214D4A"/>
    <w:rsid w:val="7A480258"/>
    <w:rsid w:val="7ABE6A3D"/>
    <w:rsid w:val="7BDF4EBD"/>
    <w:rsid w:val="7CA0464C"/>
    <w:rsid w:val="7E8A7362"/>
    <w:rsid w:val="7EC02D84"/>
    <w:rsid w:val="7F8D0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spacing w:beforeLines="0" w:beforeAutospacing="0" w:afterLines="0" w:afterAutospacing="0" w:line="360" w:lineRule="auto"/>
      <w:outlineLvl w:val="0"/>
    </w:pPr>
    <w:rPr>
      <w:rFonts w:ascii="Times New Roman" w:hAnsi="Times New Roman" w:eastAsia="黑体" w:cs="Times New Roman"/>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楷体"/>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jc w:val="distribute"/>
    </w:pPr>
    <w:rPr>
      <w:rFonts w:eastAsia="幼圆"/>
      <w:b/>
      <w:bCs/>
      <w:sz w:val="18"/>
    </w:rPr>
  </w:style>
  <w:style w:type="paragraph" w:styleId="5">
    <w:name w:val="toc 3"/>
    <w:basedOn w:val="1"/>
    <w:next w:val="1"/>
    <w:qFormat/>
    <w:uiPriority w:val="0"/>
    <w:pPr>
      <w:ind w:left="840" w:leftChars="4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2668</Words>
  <Characters>2730</Characters>
  <Lines>0</Lines>
  <Paragraphs>0</Paragraphs>
  <TotalTime>12</TotalTime>
  <ScaleCrop>false</ScaleCrop>
  <LinksUpToDate>false</LinksUpToDate>
  <CharactersWithSpaces>2795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2025-06-18T02:12:00Z</dcterms:created>
  <dc:creator>xxf^919</dc:creator>
  <cp:lastModifiedBy>宁向辉</cp:lastModifiedBy>
  <dcterms:modified xsi:type="dcterms:W3CDTF">2026-01-23T01:22:48Z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eyJoZGlkIjoiNDE4YmZhMmE2MDk5ZTkzNjA2YjVmMDg3NDdiMDM1YWIiLCJ1c2VySWQiOiI3ODAzNjMxNjUifQ==</vt:lpwstr>
  </property>
  <property fmtid="{D5CDD505-2E9C-101B-9397-08002B2CF9AE}" pid="4" name="ICV">
    <vt:lpwstr>B3FD135659B34270AE9FD55396995F2D_12</vt:lpwstr>
  </property>
</Properties>
</file>